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6A" w:rsidRDefault="007A666A" w:rsidP="00C302A6">
      <w:pPr>
        <w:spacing w:line="280" w:lineRule="exact"/>
        <w:ind w:firstLine="4536"/>
        <w:jc w:val="both"/>
        <w:rPr>
          <w:b/>
          <w:bCs/>
          <w:sz w:val="20"/>
          <w:szCs w:val="20"/>
        </w:rPr>
      </w:pPr>
    </w:p>
    <w:p w:rsidR="00C302A6" w:rsidRPr="000A44BA" w:rsidRDefault="00C302A6" w:rsidP="00C302A6">
      <w:pPr>
        <w:spacing w:line="280" w:lineRule="exact"/>
        <w:ind w:firstLine="4536"/>
        <w:jc w:val="both"/>
        <w:rPr>
          <w:b/>
          <w:bCs/>
          <w:sz w:val="20"/>
          <w:szCs w:val="20"/>
        </w:rPr>
      </w:pPr>
      <w:r w:rsidRPr="000A44BA">
        <w:rPr>
          <w:b/>
          <w:bCs/>
          <w:sz w:val="20"/>
          <w:szCs w:val="20"/>
        </w:rPr>
        <w:t>УТВЕРЖДЕНО</w:t>
      </w:r>
    </w:p>
    <w:p w:rsidR="00C302A6" w:rsidRPr="000A44BA" w:rsidRDefault="00C302A6" w:rsidP="00C302A6">
      <w:pPr>
        <w:spacing w:line="280" w:lineRule="exact"/>
        <w:ind w:firstLine="4536"/>
        <w:jc w:val="both"/>
        <w:rPr>
          <w:bCs/>
          <w:sz w:val="20"/>
          <w:szCs w:val="20"/>
        </w:rPr>
      </w:pPr>
      <w:r w:rsidRPr="000A44BA">
        <w:rPr>
          <w:bCs/>
          <w:sz w:val="20"/>
          <w:szCs w:val="20"/>
        </w:rPr>
        <w:t xml:space="preserve">Приказом </w:t>
      </w:r>
      <w:proofErr w:type="spellStart"/>
      <w:r w:rsidR="007A666A">
        <w:rPr>
          <w:bCs/>
          <w:sz w:val="20"/>
          <w:szCs w:val="20"/>
        </w:rPr>
        <w:t>И.о</w:t>
      </w:r>
      <w:proofErr w:type="spellEnd"/>
      <w:r w:rsidR="007A666A">
        <w:rPr>
          <w:bCs/>
          <w:sz w:val="20"/>
          <w:szCs w:val="20"/>
        </w:rPr>
        <w:t xml:space="preserve">. </w:t>
      </w:r>
      <w:r w:rsidRPr="000A44BA">
        <w:rPr>
          <w:bCs/>
          <w:sz w:val="20"/>
          <w:szCs w:val="20"/>
        </w:rPr>
        <w:t>Генерального директора</w:t>
      </w:r>
    </w:p>
    <w:p w:rsidR="00C302A6" w:rsidRPr="000A44BA" w:rsidRDefault="00C302A6" w:rsidP="00FA2448">
      <w:pPr>
        <w:ind w:firstLine="4536"/>
        <w:jc w:val="both"/>
        <w:rPr>
          <w:bCs/>
          <w:sz w:val="20"/>
          <w:szCs w:val="20"/>
        </w:rPr>
      </w:pPr>
      <w:r w:rsidRPr="000A44BA">
        <w:rPr>
          <w:bCs/>
          <w:sz w:val="20"/>
          <w:szCs w:val="20"/>
        </w:rPr>
        <w:t xml:space="preserve">ТКБ </w:t>
      </w:r>
      <w:proofErr w:type="spellStart"/>
      <w:r w:rsidRPr="000A44BA">
        <w:rPr>
          <w:bCs/>
          <w:sz w:val="20"/>
          <w:szCs w:val="20"/>
        </w:rPr>
        <w:t>Инвестмент</w:t>
      </w:r>
      <w:proofErr w:type="spellEnd"/>
      <w:r w:rsidRPr="000A44BA">
        <w:rPr>
          <w:bCs/>
          <w:sz w:val="20"/>
          <w:szCs w:val="20"/>
        </w:rPr>
        <w:t xml:space="preserve"> </w:t>
      </w:r>
      <w:proofErr w:type="spellStart"/>
      <w:r w:rsidRPr="000A44BA">
        <w:rPr>
          <w:bCs/>
          <w:sz w:val="20"/>
          <w:szCs w:val="20"/>
        </w:rPr>
        <w:t>Партнерс</w:t>
      </w:r>
      <w:proofErr w:type="spellEnd"/>
      <w:r w:rsidRPr="000A44BA">
        <w:rPr>
          <w:bCs/>
          <w:sz w:val="20"/>
          <w:szCs w:val="20"/>
        </w:rPr>
        <w:t xml:space="preserve"> (АО) </w:t>
      </w:r>
      <w:proofErr w:type="spellStart"/>
      <w:r w:rsidR="007A666A">
        <w:rPr>
          <w:bCs/>
          <w:sz w:val="20"/>
          <w:szCs w:val="20"/>
        </w:rPr>
        <w:t>Коровкина</w:t>
      </w:r>
      <w:proofErr w:type="spellEnd"/>
      <w:r w:rsidR="00554D5D" w:rsidRPr="000A44BA">
        <w:rPr>
          <w:bCs/>
          <w:sz w:val="20"/>
          <w:szCs w:val="20"/>
        </w:rPr>
        <w:t xml:space="preserve"> </w:t>
      </w:r>
      <w:r w:rsidR="007A666A">
        <w:rPr>
          <w:bCs/>
          <w:sz w:val="20"/>
          <w:szCs w:val="20"/>
        </w:rPr>
        <w:t>А</w:t>
      </w:r>
      <w:r w:rsidR="00554D5D" w:rsidRPr="000A44BA">
        <w:rPr>
          <w:bCs/>
          <w:sz w:val="20"/>
          <w:szCs w:val="20"/>
        </w:rPr>
        <w:t>.</w:t>
      </w:r>
      <w:r w:rsidR="007A666A">
        <w:rPr>
          <w:bCs/>
          <w:sz w:val="20"/>
          <w:szCs w:val="20"/>
        </w:rPr>
        <w:t>А</w:t>
      </w:r>
      <w:r w:rsidRPr="000A44BA">
        <w:rPr>
          <w:bCs/>
          <w:sz w:val="20"/>
          <w:szCs w:val="20"/>
        </w:rPr>
        <w:t>.</w:t>
      </w:r>
    </w:p>
    <w:p w:rsidR="008739CD" w:rsidRPr="000A44BA" w:rsidRDefault="008739CD" w:rsidP="00FA2448">
      <w:pPr>
        <w:ind w:left="3828" w:firstLine="708"/>
        <w:jc w:val="both"/>
        <w:rPr>
          <w:bCs/>
          <w:sz w:val="20"/>
          <w:szCs w:val="20"/>
        </w:rPr>
      </w:pPr>
      <w:r w:rsidRPr="000A44BA">
        <w:rPr>
          <w:bCs/>
          <w:sz w:val="20"/>
          <w:szCs w:val="20"/>
        </w:rPr>
        <w:t>№</w:t>
      </w:r>
      <w:r w:rsidR="00426FE2" w:rsidRPr="000A44BA">
        <w:rPr>
          <w:bCs/>
          <w:sz w:val="20"/>
          <w:szCs w:val="20"/>
        </w:rPr>
        <w:t xml:space="preserve"> </w:t>
      </w:r>
      <w:r w:rsidR="007A666A">
        <w:rPr>
          <w:bCs/>
          <w:sz w:val="20"/>
          <w:szCs w:val="20"/>
        </w:rPr>
        <w:t>135</w:t>
      </w:r>
      <w:r w:rsidRPr="000A44BA">
        <w:rPr>
          <w:bCs/>
          <w:sz w:val="20"/>
          <w:szCs w:val="20"/>
        </w:rPr>
        <w:t xml:space="preserve"> от «</w:t>
      </w:r>
      <w:r w:rsidR="007A666A">
        <w:rPr>
          <w:bCs/>
          <w:sz w:val="20"/>
          <w:szCs w:val="20"/>
        </w:rPr>
        <w:t>29</w:t>
      </w:r>
      <w:r w:rsidRPr="000A44BA">
        <w:rPr>
          <w:bCs/>
          <w:sz w:val="20"/>
          <w:szCs w:val="20"/>
        </w:rPr>
        <w:t xml:space="preserve">» </w:t>
      </w:r>
      <w:r w:rsidR="007A666A">
        <w:rPr>
          <w:bCs/>
          <w:sz w:val="20"/>
          <w:szCs w:val="20"/>
        </w:rPr>
        <w:t>декабря</w:t>
      </w:r>
      <w:r w:rsidRPr="000A44BA">
        <w:rPr>
          <w:bCs/>
          <w:sz w:val="20"/>
          <w:szCs w:val="20"/>
        </w:rPr>
        <w:t xml:space="preserve"> 20</w:t>
      </w:r>
      <w:r w:rsidR="00FA2448">
        <w:rPr>
          <w:bCs/>
          <w:sz w:val="20"/>
          <w:szCs w:val="20"/>
        </w:rPr>
        <w:t>20</w:t>
      </w:r>
      <w:r w:rsidRPr="000A44BA">
        <w:rPr>
          <w:bCs/>
          <w:sz w:val="20"/>
          <w:szCs w:val="20"/>
        </w:rPr>
        <w:t xml:space="preserve"> г.</w:t>
      </w:r>
    </w:p>
    <w:p w:rsidR="00FA2448" w:rsidRPr="00FA2448" w:rsidRDefault="00FA2448" w:rsidP="00FA2448">
      <w:pPr>
        <w:autoSpaceDE w:val="0"/>
        <w:autoSpaceDN w:val="0"/>
        <w:ind w:firstLine="284"/>
        <w:jc w:val="center"/>
        <w:rPr>
          <w:b/>
          <w:bCs/>
          <w:sz w:val="20"/>
          <w:szCs w:val="20"/>
        </w:rPr>
      </w:pPr>
    </w:p>
    <w:p w:rsidR="00FA2448" w:rsidRPr="00FA2448" w:rsidRDefault="00FA2448" w:rsidP="00FA2448">
      <w:pPr>
        <w:ind w:left="4536"/>
        <w:jc w:val="both"/>
        <w:rPr>
          <w:bCs/>
          <w:sz w:val="20"/>
          <w:szCs w:val="20"/>
        </w:rPr>
      </w:pPr>
      <w:r w:rsidRPr="00FA2448">
        <w:rPr>
          <w:bCs/>
          <w:sz w:val="20"/>
          <w:szCs w:val="20"/>
        </w:rPr>
        <w:t xml:space="preserve">Решением Общего собрания владельцев инвестиционных паев Закрытого паевого инвестиционного фонда недвижимости «Нева Хаус» </w:t>
      </w:r>
    </w:p>
    <w:p w:rsidR="00FA2448" w:rsidRPr="00FA2448" w:rsidRDefault="00FA2448" w:rsidP="00FA2448">
      <w:pPr>
        <w:ind w:left="4536"/>
        <w:jc w:val="both"/>
        <w:rPr>
          <w:bCs/>
          <w:sz w:val="20"/>
          <w:szCs w:val="20"/>
        </w:rPr>
      </w:pPr>
      <w:r w:rsidRPr="00FA2448">
        <w:rPr>
          <w:bCs/>
          <w:sz w:val="20"/>
          <w:szCs w:val="20"/>
        </w:rPr>
        <w:t>от «</w:t>
      </w:r>
      <w:r w:rsidR="007A666A">
        <w:rPr>
          <w:bCs/>
          <w:sz w:val="20"/>
          <w:szCs w:val="20"/>
        </w:rPr>
        <w:t>25</w:t>
      </w:r>
      <w:r w:rsidRPr="00FA2448">
        <w:rPr>
          <w:bCs/>
          <w:sz w:val="20"/>
          <w:szCs w:val="20"/>
        </w:rPr>
        <w:t xml:space="preserve">» </w:t>
      </w:r>
      <w:r w:rsidR="007A666A">
        <w:rPr>
          <w:bCs/>
          <w:sz w:val="20"/>
          <w:szCs w:val="20"/>
        </w:rPr>
        <w:t xml:space="preserve">декабря </w:t>
      </w:r>
      <w:r w:rsidRPr="00FA2448">
        <w:rPr>
          <w:bCs/>
          <w:sz w:val="20"/>
          <w:szCs w:val="20"/>
        </w:rPr>
        <w:t>20</w:t>
      </w:r>
      <w:r>
        <w:rPr>
          <w:bCs/>
          <w:sz w:val="20"/>
          <w:szCs w:val="20"/>
        </w:rPr>
        <w:t>20</w:t>
      </w:r>
      <w:r w:rsidRPr="00FA2448">
        <w:rPr>
          <w:bCs/>
          <w:sz w:val="20"/>
          <w:szCs w:val="20"/>
        </w:rPr>
        <w:t xml:space="preserve"> г.</w:t>
      </w:r>
    </w:p>
    <w:p w:rsidR="00FA2448" w:rsidRPr="00FA2448" w:rsidRDefault="00FA2448" w:rsidP="00FA2448">
      <w:pPr>
        <w:ind w:left="4536"/>
        <w:jc w:val="both"/>
        <w:rPr>
          <w:bCs/>
          <w:sz w:val="20"/>
          <w:szCs w:val="20"/>
        </w:rPr>
      </w:pPr>
      <w:r w:rsidRPr="00FA2448">
        <w:rPr>
          <w:bCs/>
          <w:sz w:val="20"/>
          <w:szCs w:val="20"/>
        </w:rPr>
        <w:t>(Протокол общего собрания владельцев инвестиционных паев Закрытого паевого инвестиционного фонда недвижимости «Нева Хаус»</w:t>
      </w:r>
    </w:p>
    <w:p w:rsidR="00E50DC1" w:rsidRPr="00FA2448" w:rsidRDefault="00FA2448" w:rsidP="00FA2448">
      <w:pPr>
        <w:ind w:left="4536"/>
        <w:jc w:val="both"/>
        <w:rPr>
          <w:bCs/>
          <w:sz w:val="20"/>
          <w:szCs w:val="20"/>
        </w:rPr>
      </w:pPr>
      <w:r w:rsidRPr="00FA2448">
        <w:rPr>
          <w:bCs/>
          <w:sz w:val="20"/>
          <w:szCs w:val="20"/>
        </w:rPr>
        <w:t>№ б/н от «</w:t>
      </w:r>
      <w:r w:rsidR="007A666A">
        <w:rPr>
          <w:bCs/>
          <w:sz w:val="20"/>
          <w:szCs w:val="20"/>
        </w:rPr>
        <w:t>28</w:t>
      </w:r>
      <w:r w:rsidRPr="00FA2448">
        <w:rPr>
          <w:bCs/>
          <w:sz w:val="20"/>
          <w:szCs w:val="20"/>
        </w:rPr>
        <w:t xml:space="preserve">» </w:t>
      </w:r>
      <w:r w:rsidR="007A666A">
        <w:rPr>
          <w:bCs/>
          <w:sz w:val="20"/>
          <w:szCs w:val="20"/>
        </w:rPr>
        <w:t>декабря</w:t>
      </w:r>
      <w:r w:rsidRPr="00FA2448">
        <w:rPr>
          <w:bCs/>
          <w:sz w:val="20"/>
          <w:szCs w:val="20"/>
        </w:rPr>
        <w:t xml:space="preserve"> 20</w:t>
      </w:r>
      <w:r>
        <w:rPr>
          <w:bCs/>
          <w:sz w:val="20"/>
          <w:szCs w:val="20"/>
        </w:rPr>
        <w:t>20</w:t>
      </w:r>
      <w:r w:rsidRPr="00FA2448">
        <w:rPr>
          <w:bCs/>
          <w:sz w:val="20"/>
          <w:szCs w:val="20"/>
        </w:rPr>
        <w:t xml:space="preserve"> г.)</w:t>
      </w:r>
    </w:p>
    <w:p w:rsidR="00291FCB" w:rsidRPr="000A44BA" w:rsidRDefault="00291FCB" w:rsidP="00E50DC1">
      <w:pPr>
        <w:autoSpaceDE w:val="0"/>
        <w:autoSpaceDN w:val="0"/>
        <w:ind w:firstLine="284"/>
        <w:jc w:val="center"/>
        <w:rPr>
          <w:b/>
          <w:bCs/>
          <w:sz w:val="20"/>
          <w:szCs w:val="20"/>
        </w:rPr>
      </w:pPr>
    </w:p>
    <w:p w:rsidR="00E50DC1" w:rsidRPr="00291FCB" w:rsidRDefault="00E50DC1" w:rsidP="00E50DC1">
      <w:pPr>
        <w:autoSpaceDE w:val="0"/>
        <w:autoSpaceDN w:val="0"/>
        <w:ind w:firstLine="284"/>
        <w:jc w:val="center"/>
        <w:rPr>
          <w:b/>
          <w:bCs/>
        </w:rPr>
      </w:pPr>
      <w:r w:rsidRPr="00291FCB">
        <w:rPr>
          <w:b/>
          <w:bCs/>
        </w:rPr>
        <w:t xml:space="preserve">Изменения и дополнения № </w:t>
      </w:r>
      <w:r w:rsidR="003635BF">
        <w:rPr>
          <w:b/>
          <w:bCs/>
        </w:rPr>
        <w:t>5</w:t>
      </w:r>
    </w:p>
    <w:p w:rsidR="00E50DC1" w:rsidRPr="00291FCB" w:rsidRDefault="00E50DC1" w:rsidP="00E50DC1">
      <w:pPr>
        <w:autoSpaceDE w:val="0"/>
        <w:autoSpaceDN w:val="0"/>
        <w:adjustRightInd w:val="0"/>
        <w:jc w:val="center"/>
        <w:rPr>
          <w:b/>
          <w:bCs/>
          <w:lang w:eastAsia="en-US"/>
        </w:rPr>
      </w:pPr>
      <w:r w:rsidRPr="00291FCB">
        <w:rPr>
          <w:lang w:eastAsia="en-US"/>
        </w:rPr>
        <w:t xml:space="preserve"> </w:t>
      </w:r>
      <w:r w:rsidRPr="00291FCB">
        <w:rPr>
          <w:b/>
          <w:bCs/>
          <w:lang w:eastAsia="en-US"/>
        </w:rPr>
        <w:t>в Правила доверительного управления</w:t>
      </w:r>
    </w:p>
    <w:p w:rsidR="00E50DC1" w:rsidRPr="00291FCB" w:rsidRDefault="00E50DC1" w:rsidP="00E50DC1">
      <w:pPr>
        <w:widowControl w:val="0"/>
        <w:autoSpaceDE w:val="0"/>
        <w:autoSpaceDN w:val="0"/>
        <w:adjustRightInd w:val="0"/>
        <w:jc w:val="center"/>
        <w:rPr>
          <w:b/>
          <w:bCs/>
          <w:lang w:eastAsia="en-US"/>
        </w:rPr>
      </w:pPr>
      <w:r w:rsidRPr="00291FCB">
        <w:rPr>
          <w:b/>
          <w:bCs/>
          <w:lang w:eastAsia="en-US"/>
        </w:rPr>
        <w:t xml:space="preserve"> Закрытым паевым инвестиционным фондом </w:t>
      </w:r>
      <w:r w:rsidR="00454A88" w:rsidRPr="00291FCB">
        <w:rPr>
          <w:b/>
          <w:bCs/>
          <w:lang w:eastAsia="en-US"/>
        </w:rPr>
        <w:t>недвижимости «Нева Хаус»</w:t>
      </w:r>
    </w:p>
    <w:p w:rsidR="00F92E83" w:rsidRPr="000A44BA" w:rsidRDefault="00F92E83" w:rsidP="00E50DC1">
      <w:pPr>
        <w:widowControl w:val="0"/>
        <w:autoSpaceDE w:val="0"/>
        <w:autoSpaceDN w:val="0"/>
        <w:adjustRightInd w:val="0"/>
        <w:jc w:val="center"/>
        <w:rPr>
          <w:b/>
          <w:bCs/>
          <w:sz w:val="20"/>
          <w:szCs w:val="20"/>
          <w:lang w:eastAsia="en-US"/>
        </w:rPr>
      </w:pPr>
    </w:p>
    <w:p w:rsidR="00620675" w:rsidRPr="000A44BA" w:rsidRDefault="00E50DC1" w:rsidP="00291FCB">
      <w:pPr>
        <w:ind w:left="-426" w:firstLine="851"/>
        <w:jc w:val="both"/>
        <w:rPr>
          <w:bCs/>
          <w:sz w:val="20"/>
          <w:szCs w:val="20"/>
        </w:rPr>
      </w:pPr>
      <w:r w:rsidRPr="000A44BA">
        <w:rPr>
          <w:sz w:val="20"/>
          <w:szCs w:val="20"/>
        </w:rPr>
        <w:t xml:space="preserve">Внести в Правила доверительного управления Закрытым паевым инвестиционным фондом </w:t>
      </w:r>
      <w:r w:rsidR="00454A88" w:rsidRPr="000A44BA">
        <w:rPr>
          <w:sz w:val="20"/>
          <w:szCs w:val="20"/>
        </w:rPr>
        <w:t>недвижимости «Нева Хаус»</w:t>
      </w:r>
      <w:r w:rsidRPr="000A44BA">
        <w:rPr>
          <w:sz w:val="20"/>
          <w:szCs w:val="20"/>
        </w:rPr>
        <w:t xml:space="preserve">, зарегистрированные </w:t>
      </w:r>
      <w:r w:rsidR="00454A88" w:rsidRPr="000A44BA">
        <w:rPr>
          <w:sz w:val="20"/>
          <w:szCs w:val="20"/>
        </w:rPr>
        <w:t>Банком России 02 ноября 2017</w:t>
      </w:r>
      <w:r w:rsidRPr="000A44BA">
        <w:rPr>
          <w:sz w:val="20"/>
          <w:szCs w:val="20"/>
        </w:rPr>
        <w:t xml:space="preserve"> г. за № </w:t>
      </w:r>
      <w:r w:rsidR="00454A88" w:rsidRPr="000A44BA">
        <w:rPr>
          <w:bCs/>
          <w:sz w:val="20"/>
          <w:szCs w:val="20"/>
        </w:rPr>
        <w:t>3414</w:t>
      </w:r>
      <w:r w:rsidRPr="000A44BA">
        <w:rPr>
          <w:sz w:val="20"/>
          <w:szCs w:val="20"/>
        </w:rPr>
        <w:t>, сле</w:t>
      </w:r>
      <w:r w:rsidR="00291FCB" w:rsidRPr="000A44BA">
        <w:rPr>
          <w:sz w:val="20"/>
          <w:szCs w:val="20"/>
        </w:rPr>
        <w:t>дующие изменения и дополнения:</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5"/>
        <w:gridCol w:w="4252"/>
        <w:gridCol w:w="360"/>
        <w:gridCol w:w="3569"/>
        <w:gridCol w:w="465"/>
      </w:tblGrid>
      <w:tr w:rsidR="00E830E6" w:rsidRPr="00113335" w:rsidTr="00FA2448">
        <w:trPr>
          <w:trHeight w:val="807"/>
        </w:trPr>
        <w:tc>
          <w:tcPr>
            <w:tcW w:w="425" w:type="dxa"/>
          </w:tcPr>
          <w:p w:rsidR="00E830E6" w:rsidRPr="00490BC6" w:rsidRDefault="00E830E6" w:rsidP="00490BC6">
            <w:pPr>
              <w:ind w:left="-108"/>
              <w:jc w:val="center"/>
              <w:rPr>
                <w:b/>
                <w:sz w:val="20"/>
                <w:szCs w:val="20"/>
              </w:rPr>
            </w:pPr>
            <w:r w:rsidRPr="00490BC6">
              <w:rPr>
                <w:b/>
                <w:sz w:val="20"/>
                <w:szCs w:val="20"/>
              </w:rPr>
              <w:t>№ п/п</w:t>
            </w:r>
          </w:p>
        </w:tc>
        <w:tc>
          <w:tcPr>
            <w:tcW w:w="1135" w:type="dxa"/>
          </w:tcPr>
          <w:p w:rsidR="00E830E6" w:rsidRPr="00490BC6" w:rsidRDefault="00E830E6" w:rsidP="00EA74FE">
            <w:pPr>
              <w:jc w:val="center"/>
              <w:rPr>
                <w:b/>
                <w:sz w:val="20"/>
                <w:szCs w:val="20"/>
              </w:rPr>
            </w:pPr>
            <w:r w:rsidRPr="00490BC6">
              <w:rPr>
                <w:b/>
                <w:sz w:val="20"/>
                <w:szCs w:val="20"/>
              </w:rPr>
              <w:t xml:space="preserve">Номер </w:t>
            </w:r>
            <w:proofErr w:type="spellStart"/>
            <w:r w:rsidRPr="00490BC6">
              <w:rPr>
                <w:b/>
                <w:sz w:val="20"/>
                <w:szCs w:val="20"/>
              </w:rPr>
              <w:t>редакти</w:t>
            </w:r>
            <w:r w:rsidR="00291FCB" w:rsidRPr="00490BC6">
              <w:rPr>
                <w:b/>
                <w:sz w:val="20"/>
                <w:szCs w:val="20"/>
              </w:rPr>
              <w:t>-</w:t>
            </w:r>
            <w:r w:rsidRPr="00490BC6">
              <w:rPr>
                <w:b/>
                <w:sz w:val="20"/>
                <w:szCs w:val="20"/>
              </w:rPr>
              <w:t>ру</w:t>
            </w:r>
            <w:r w:rsidR="00EA74FE" w:rsidRPr="00490BC6">
              <w:rPr>
                <w:b/>
                <w:sz w:val="20"/>
                <w:szCs w:val="20"/>
              </w:rPr>
              <w:t>е</w:t>
            </w:r>
            <w:r w:rsidRPr="00490BC6">
              <w:rPr>
                <w:b/>
                <w:sz w:val="20"/>
                <w:szCs w:val="20"/>
              </w:rPr>
              <w:t>мого</w:t>
            </w:r>
            <w:proofErr w:type="spellEnd"/>
            <w:r w:rsidRPr="00490BC6">
              <w:rPr>
                <w:b/>
                <w:sz w:val="20"/>
                <w:szCs w:val="20"/>
              </w:rPr>
              <w:t xml:space="preserve"> пункта</w:t>
            </w:r>
          </w:p>
        </w:tc>
        <w:tc>
          <w:tcPr>
            <w:tcW w:w="4252" w:type="dxa"/>
          </w:tcPr>
          <w:p w:rsidR="00E830E6" w:rsidRPr="00490BC6" w:rsidRDefault="00E830E6" w:rsidP="008A34DD">
            <w:pPr>
              <w:jc w:val="center"/>
              <w:rPr>
                <w:b/>
                <w:sz w:val="20"/>
                <w:szCs w:val="20"/>
              </w:rPr>
            </w:pPr>
            <w:r w:rsidRPr="00490BC6">
              <w:rPr>
                <w:b/>
                <w:sz w:val="20"/>
                <w:szCs w:val="20"/>
              </w:rPr>
              <w:t>Пункт в прежней редакции</w:t>
            </w:r>
          </w:p>
        </w:tc>
        <w:tc>
          <w:tcPr>
            <w:tcW w:w="4394" w:type="dxa"/>
            <w:gridSpan w:val="3"/>
          </w:tcPr>
          <w:p w:rsidR="00E830E6" w:rsidRPr="00490BC6" w:rsidRDefault="00E830E6" w:rsidP="008A34DD">
            <w:pPr>
              <w:jc w:val="center"/>
              <w:rPr>
                <w:b/>
                <w:sz w:val="20"/>
                <w:szCs w:val="20"/>
              </w:rPr>
            </w:pPr>
            <w:r w:rsidRPr="00490BC6">
              <w:rPr>
                <w:b/>
                <w:sz w:val="20"/>
                <w:szCs w:val="20"/>
              </w:rPr>
              <w:t>Пункт в новой редакции</w:t>
            </w:r>
          </w:p>
        </w:tc>
      </w:tr>
      <w:tr w:rsidR="005B6098" w:rsidRPr="00291FCB" w:rsidTr="00FA2448">
        <w:trPr>
          <w:trHeight w:val="293"/>
        </w:trPr>
        <w:tc>
          <w:tcPr>
            <w:tcW w:w="425" w:type="dxa"/>
            <w:tcBorders>
              <w:top w:val="single" w:sz="2" w:space="0" w:color="auto"/>
              <w:bottom w:val="single" w:sz="2" w:space="0" w:color="auto"/>
            </w:tcBorders>
          </w:tcPr>
          <w:p w:rsidR="005B6098" w:rsidRPr="00291FCB" w:rsidRDefault="005B6098" w:rsidP="000A44BA">
            <w:pPr>
              <w:jc w:val="center"/>
              <w:rPr>
                <w:sz w:val="22"/>
                <w:szCs w:val="22"/>
              </w:rPr>
            </w:pPr>
            <w:r w:rsidRPr="00291FCB">
              <w:rPr>
                <w:sz w:val="22"/>
                <w:szCs w:val="22"/>
              </w:rPr>
              <w:t>1</w:t>
            </w:r>
          </w:p>
        </w:tc>
        <w:tc>
          <w:tcPr>
            <w:tcW w:w="1135" w:type="dxa"/>
            <w:tcBorders>
              <w:top w:val="single" w:sz="2" w:space="0" w:color="auto"/>
              <w:bottom w:val="single" w:sz="2" w:space="0" w:color="auto"/>
            </w:tcBorders>
          </w:tcPr>
          <w:p w:rsidR="005B6098" w:rsidRPr="00490BC6" w:rsidRDefault="005B6098" w:rsidP="000A44BA">
            <w:pPr>
              <w:jc w:val="center"/>
              <w:rPr>
                <w:sz w:val="20"/>
                <w:szCs w:val="20"/>
              </w:rPr>
            </w:pPr>
          </w:p>
        </w:tc>
        <w:tc>
          <w:tcPr>
            <w:tcW w:w="4252" w:type="dxa"/>
            <w:tcBorders>
              <w:top w:val="single" w:sz="2" w:space="0" w:color="auto"/>
              <w:bottom w:val="single" w:sz="2" w:space="0" w:color="auto"/>
            </w:tcBorders>
          </w:tcPr>
          <w:p w:rsidR="005B6098" w:rsidRPr="003635BF" w:rsidRDefault="003635BF" w:rsidP="007D1455">
            <w:pPr>
              <w:shd w:val="clear" w:color="auto" w:fill="FFFFFF" w:themeFill="background1"/>
              <w:tabs>
                <w:tab w:val="left" w:pos="9072"/>
              </w:tabs>
              <w:ind w:firstLine="317"/>
              <w:jc w:val="both"/>
              <w:rPr>
                <w:sz w:val="20"/>
                <w:szCs w:val="20"/>
                <w:highlight w:val="yellow"/>
              </w:rPr>
            </w:pPr>
            <w:bookmarkStart w:id="0" w:name="p_14"/>
            <w:bookmarkEnd w:id="0"/>
            <w:r w:rsidRPr="00FA2448">
              <w:rPr>
                <w:sz w:val="20"/>
                <w:szCs w:val="20"/>
              </w:rPr>
              <w:t>Дополнить текст Правил пунктом 3</w:t>
            </w:r>
            <w:r w:rsidR="007D1455" w:rsidRPr="00FA2448">
              <w:rPr>
                <w:sz w:val="20"/>
                <w:szCs w:val="20"/>
              </w:rPr>
              <w:t>3</w:t>
            </w:r>
            <w:r w:rsidRPr="00FA2448">
              <w:rPr>
                <w:sz w:val="20"/>
                <w:szCs w:val="20"/>
              </w:rPr>
              <w:t>.6</w:t>
            </w:r>
          </w:p>
        </w:tc>
        <w:tc>
          <w:tcPr>
            <w:tcW w:w="4394" w:type="dxa"/>
            <w:gridSpan w:val="3"/>
            <w:tcBorders>
              <w:top w:val="single" w:sz="2" w:space="0" w:color="auto"/>
              <w:bottom w:val="single" w:sz="2" w:space="0" w:color="auto"/>
            </w:tcBorders>
          </w:tcPr>
          <w:p w:rsidR="003635BF" w:rsidRPr="007D1455" w:rsidRDefault="007D1455" w:rsidP="003635BF">
            <w:pPr>
              <w:tabs>
                <w:tab w:val="left" w:pos="428"/>
              </w:tabs>
              <w:spacing w:after="60"/>
              <w:jc w:val="both"/>
              <w:rPr>
                <w:sz w:val="20"/>
                <w:szCs w:val="20"/>
              </w:rPr>
            </w:pPr>
            <w:r w:rsidRPr="007D1455">
              <w:rPr>
                <w:sz w:val="20"/>
                <w:szCs w:val="20"/>
              </w:rPr>
              <w:t>33</w:t>
            </w:r>
            <w:r w:rsidR="003635BF" w:rsidRPr="007D1455">
              <w:rPr>
                <w:sz w:val="20"/>
                <w:szCs w:val="20"/>
              </w:rPr>
              <w:t>.6. Право владельцев инвестиционных паев на получение дохода по инвестиционному паю.</w:t>
            </w:r>
          </w:p>
          <w:p w:rsidR="003635BF" w:rsidRPr="007D1455" w:rsidRDefault="003635BF" w:rsidP="003635BF">
            <w:pPr>
              <w:tabs>
                <w:tab w:val="left" w:pos="428"/>
              </w:tabs>
              <w:spacing w:after="60"/>
              <w:jc w:val="both"/>
              <w:rPr>
                <w:sz w:val="20"/>
                <w:szCs w:val="20"/>
              </w:rPr>
            </w:pPr>
            <w:r w:rsidRPr="007D1455">
              <w:rPr>
                <w:sz w:val="20"/>
                <w:szCs w:val="20"/>
              </w:rPr>
              <w:t>а) Порядок определения размера дохода по инвестиционному паю:</w:t>
            </w:r>
          </w:p>
          <w:p w:rsidR="003635BF" w:rsidRPr="007D1455" w:rsidRDefault="003635BF" w:rsidP="003635BF">
            <w:pPr>
              <w:tabs>
                <w:tab w:val="left" w:pos="428"/>
              </w:tabs>
              <w:spacing w:after="60"/>
              <w:jc w:val="both"/>
              <w:rPr>
                <w:sz w:val="20"/>
                <w:szCs w:val="20"/>
              </w:rPr>
            </w:pPr>
            <w:r w:rsidRPr="007D1455">
              <w:rPr>
                <w:sz w:val="20"/>
                <w:szCs w:val="20"/>
              </w:rPr>
              <w:t>Доход по инвестиционным паям определяется следующим образом:</w:t>
            </w:r>
          </w:p>
          <w:p w:rsidR="003635BF" w:rsidRPr="007D1455" w:rsidRDefault="003635BF" w:rsidP="003635BF">
            <w:pPr>
              <w:tabs>
                <w:tab w:val="left" w:pos="428"/>
              </w:tabs>
              <w:spacing w:after="60"/>
              <w:jc w:val="both"/>
              <w:rPr>
                <w:sz w:val="20"/>
                <w:szCs w:val="20"/>
              </w:rPr>
            </w:pPr>
            <w:r w:rsidRPr="007D1455">
              <w:rPr>
                <w:sz w:val="20"/>
                <w:szCs w:val="20"/>
              </w:rPr>
              <w:t xml:space="preserve">D = S – </w:t>
            </w:r>
            <w:proofErr w:type="spellStart"/>
            <w:r w:rsidRPr="007D1455">
              <w:rPr>
                <w:sz w:val="20"/>
                <w:szCs w:val="20"/>
              </w:rPr>
              <w:t>Sf</w:t>
            </w:r>
            <w:proofErr w:type="spellEnd"/>
            <w:r w:rsidRPr="007D1455">
              <w:rPr>
                <w:sz w:val="20"/>
                <w:szCs w:val="20"/>
              </w:rPr>
              <w:t>, где</w:t>
            </w:r>
          </w:p>
          <w:p w:rsidR="003635BF" w:rsidRPr="007D1455" w:rsidRDefault="003635BF" w:rsidP="003635BF">
            <w:pPr>
              <w:tabs>
                <w:tab w:val="left" w:pos="428"/>
              </w:tabs>
              <w:spacing w:after="60"/>
              <w:jc w:val="both"/>
              <w:rPr>
                <w:sz w:val="20"/>
                <w:szCs w:val="20"/>
              </w:rPr>
            </w:pPr>
            <w:r w:rsidRPr="007D1455">
              <w:rPr>
                <w:sz w:val="20"/>
                <w:szCs w:val="20"/>
              </w:rPr>
              <w:t>D – доход по инвестиционным паям фонда по итогам отчетного периода,</w:t>
            </w:r>
          </w:p>
          <w:p w:rsidR="003635BF" w:rsidRPr="007D1455" w:rsidRDefault="003635BF" w:rsidP="003635BF">
            <w:pPr>
              <w:tabs>
                <w:tab w:val="left" w:pos="428"/>
              </w:tabs>
              <w:spacing w:after="60"/>
              <w:jc w:val="both"/>
              <w:rPr>
                <w:sz w:val="20"/>
                <w:szCs w:val="20"/>
              </w:rPr>
            </w:pPr>
            <w:r w:rsidRPr="007D1455">
              <w:rPr>
                <w:sz w:val="20"/>
                <w:szCs w:val="20"/>
              </w:rPr>
              <w:t>S – совокупный остаток денежных средств, учитываемых на расчетных банковских счетах Фонда, открытых в валюте Российской Федерации, по состоянию на последний рабочий день отчетного периода,</w:t>
            </w:r>
          </w:p>
          <w:p w:rsidR="003635BF" w:rsidRPr="007D1455" w:rsidRDefault="003635BF" w:rsidP="003635BF">
            <w:pPr>
              <w:tabs>
                <w:tab w:val="left" w:pos="428"/>
              </w:tabs>
              <w:spacing w:after="60"/>
              <w:jc w:val="both"/>
              <w:rPr>
                <w:sz w:val="20"/>
                <w:szCs w:val="20"/>
              </w:rPr>
            </w:pPr>
            <w:proofErr w:type="spellStart"/>
            <w:r w:rsidRPr="007D1455">
              <w:rPr>
                <w:sz w:val="20"/>
                <w:szCs w:val="20"/>
              </w:rPr>
              <w:t>Sf</w:t>
            </w:r>
            <w:proofErr w:type="spellEnd"/>
            <w:r w:rsidRPr="007D1455">
              <w:rPr>
                <w:sz w:val="20"/>
                <w:szCs w:val="20"/>
              </w:rPr>
              <w:t xml:space="preserve"> – сумма денежных средств в размере </w:t>
            </w:r>
            <w:r w:rsidR="007D1455" w:rsidRPr="007D1455">
              <w:rPr>
                <w:sz w:val="20"/>
                <w:szCs w:val="20"/>
              </w:rPr>
              <w:t>20</w:t>
            </w:r>
            <w:r w:rsidRPr="007D1455">
              <w:rPr>
                <w:sz w:val="20"/>
                <w:szCs w:val="20"/>
              </w:rPr>
              <w:t> 000 000 (</w:t>
            </w:r>
            <w:r w:rsidR="007D1455" w:rsidRPr="007D1455">
              <w:rPr>
                <w:sz w:val="20"/>
                <w:szCs w:val="20"/>
              </w:rPr>
              <w:t>Двадцать</w:t>
            </w:r>
            <w:r w:rsidRPr="007D1455">
              <w:rPr>
                <w:sz w:val="20"/>
                <w:szCs w:val="20"/>
              </w:rPr>
              <w:t xml:space="preserve"> миллионов) рублей.</w:t>
            </w:r>
          </w:p>
          <w:p w:rsidR="003635BF" w:rsidRPr="007D1455" w:rsidRDefault="003635BF" w:rsidP="003635BF">
            <w:pPr>
              <w:tabs>
                <w:tab w:val="left" w:pos="428"/>
              </w:tabs>
              <w:spacing w:after="60"/>
              <w:jc w:val="both"/>
              <w:rPr>
                <w:sz w:val="20"/>
                <w:szCs w:val="20"/>
              </w:rPr>
            </w:pPr>
          </w:p>
          <w:p w:rsidR="003635BF" w:rsidRPr="007D1455" w:rsidRDefault="003635BF" w:rsidP="003635BF">
            <w:pPr>
              <w:tabs>
                <w:tab w:val="left" w:pos="428"/>
              </w:tabs>
              <w:spacing w:after="60"/>
              <w:jc w:val="both"/>
              <w:rPr>
                <w:sz w:val="20"/>
                <w:szCs w:val="20"/>
              </w:rPr>
            </w:pPr>
            <w:r w:rsidRPr="007D1455">
              <w:rPr>
                <w:sz w:val="20"/>
                <w:szCs w:val="20"/>
              </w:rPr>
              <w:t xml:space="preserve">Отчетным периодом признается календарный квартал. </w:t>
            </w:r>
          </w:p>
          <w:p w:rsidR="003635BF" w:rsidRPr="007D1455" w:rsidRDefault="003635BF" w:rsidP="003635BF">
            <w:pPr>
              <w:tabs>
                <w:tab w:val="left" w:pos="428"/>
              </w:tabs>
              <w:spacing w:after="60"/>
              <w:jc w:val="both"/>
              <w:rPr>
                <w:sz w:val="20"/>
                <w:szCs w:val="20"/>
              </w:rPr>
            </w:pPr>
            <w:r w:rsidRPr="007D1455">
              <w:rPr>
                <w:sz w:val="20"/>
                <w:szCs w:val="20"/>
              </w:rPr>
              <w:t>Если по состоянию на последний рабочий день отчетного периода совокупный остаток денежных средств, учитываемых на расчетных банковских счетах Фонда, открытых в валюте Российской Федерации, со</w:t>
            </w:r>
            <w:r w:rsidR="007D1455" w:rsidRPr="007D1455">
              <w:rPr>
                <w:sz w:val="20"/>
                <w:szCs w:val="20"/>
              </w:rPr>
              <w:t>ставляет сумму, не превышающую 20</w:t>
            </w:r>
            <w:r w:rsidRPr="007D1455">
              <w:rPr>
                <w:sz w:val="20"/>
                <w:szCs w:val="20"/>
              </w:rPr>
              <w:t> 000 000 (</w:t>
            </w:r>
            <w:r w:rsidR="007D1455" w:rsidRPr="007D1455">
              <w:rPr>
                <w:sz w:val="20"/>
                <w:szCs w:val="20"/>
              </w:rPr>
              <w:t xml:space="preserve">Двадцать </w:t>
            </w:r>
            <w:r w:rsidRPr="007D1455">
              <w:rPr>
                <w:sz w:val="20"/>
                <w:szCs w:val="20"/>
              </w:rPr>
              <w:t>миллионов) рублей, доход по инвестиционным паям не начисляется и не выплачивается.</w:t>
            </w:r>
          </w:p>
          <w:p w:rsidR="003635BF" w:rsidRPr="007D1455" w:rsidRDefault="003635BF" w:rsidP="003635BF">
            <w:pPr>
              <w:tabs>
                <w:tab w:val="left" w:pos="428"/>
              </w:tabs>
              <w:spacing w:after="60"/>
              <w:jc w:val="both"/>
              <w:rPr>
                <w:sz w:val="20"/>
                <w:szCs w:val="20"/>
              </w:rPr>
            </w:pPr>
            <w:r w:rsidRPr="007D1455">
              <w:rPr>
                <w:sz w:val="20"/>
                <w:szCs w:val="20"/>
              </w:rPr>
              <w:t>б) Доля дохода по инвестиционному паю, подлежащая распределению, и порядок ее определения:</w:t>
            </w:r>
          </w:p>
          <w:p w:rsidR="003635BF" w:rsidRPr="007D1455" w:rsidRDefault="003635BF" w:rsidP="003635BF">
            <w:pPr>
              <w:tabs>
                <w:tab w:val="left" w:pos="428"/>
              </w:tabs>
              <w:spacing w:after="60"/>
              <w:jc w:val="both"/>
              <w:rPr>
                <w:sz w:val="20"/>
                <w:szCs w:val="20"/>
              </w:rPr>
            </w:pPr>
            <w:r w:rsidRPr="007D1455">
              <w:rPr>
                <w:sz w:val="20"/>
                <w:szCs w:val="20"/>
              </w:rPr>
              <w:t xml:space="preserve">Доля дохода по инвестиционным паям, подлежащая распределению между владельцами инвестиционных паев, равна 100 (Ста) процентам от дохода по инвестиционным паям, </w:t>
            </w:r>
            <w:r w:rsidRPr="007D1455">
              <w:rPr>
                <w:sz w:val="20"/>
                <w:szCs w:val="20"/>
              </w:rPr>
              <w:lastRenderedPageBreak/>
              <w:t>определенного в соответствии с подпунктом «а» пункта 3</w:t>
            </w:r>
            <w:r w:rsidR="007D1455">
              <w:rPr>
                <w:sz w:val="20"/>
                <w:szCs w:val="20"/>
              </w:rPr>
              <w:t>3</w:t>
            </w:r>
            <w:r w:rsidRPr="007D1455">
              <w:rPr>
                <w:sz w:val="20"/>
                <w:szCs w:val="20"/>
              </w:rPr>
              <w:t>.6. настоящих Правил.</w:t>
            </w:r>
          </w:p>
          <w:p w:rsidR="003635BF" w:rsidRPr="007D1455" w:rsidRDefault="003635BF" w:rsidP="003635BF">
            <w:pPr>
              <w:tabs>
                <w:tab w:val="left" w:pos="428"/>
              </w:tabs>
              <w:spacing w:after="60"/>
              <w:jc w:val="both"/>
              <w:rPr>
                <w:sz w:val="20"/>
                <w:szCs w:val="20"/>
              </w:rPr>
            </w:pPr>
            <w:r w:rsidRPr="007D1455">
              <w:rPr>
                <w:sz w:val="20"/>
                <w:szCs w:val="20"/>
              </w:rPr>
              <w:t xml:space="preserve">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 </w:t>
            </w:r>
          </w:p>
          <w:p w:rsidR="003635BF" w:rsidRPr="007D1455" w:rsidRDefault="003635BF" w:rsidP="003635BF">
            <w:pPr>
              <w:tabs>
                <w:tab w:val="left" w:pos="428"/>
              </w:tabs>
              <w:spacing w:after="60"/>
              <w:jc w:val="both"/>
              <w:rPr>
                <w:sz w:val="20"/>
                <w:szCs w:val="20"/>
              </w:rPr>
            </w:pPr>
            <w:r w:rsidRPr="007D1455">
              <w:rPr>
                <w:sz w:val="20"/>
                <w:szCs w:val="20"/>
              </w:rPr>
              <w:t>Доход по инвестиционному паю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w:t>
            </w:r>
          </w:p>
          <w:p w:rsidR="003635BF" w:rsidRPr="007D1455" w:rsidRDefault="003635BF" w:rsidP="003635BF">
            <w:pPr>
              <w:tabs>
                <w:tab w:val="left" w:pos="428"/>
              </w:tabs>
              <w:spacing w:after="60"/>
              <w:jc w:val="both"/>
              <w:rPr>
                <w:sz w:val="20"/>
                <w:szCs w:val="20"/>
              </w:rPr>
            </w:pPr>
            <w:r w:rsidRPr="007D1455">
              <w:rPr>
                <w:sz w:val="20"/>
                <w:szCs w:val="20"/>
              </w:rPr>
              <w:t>в) Срок выплаты дохода по инвестиционному паю:</w:t>
            </w:r>
          </w:p>
          <w:p w:rsidR="003635BF" w:rsidRPr="007D1455" w:rsidRDefault="003635BF" w:rsidP="003635BF">
            <w:pPr>
              <w:tabs>
                <w:tab w:val="left" w:pos="428"/>
              </w:tabs>
              <w:spacing w:after="60"/>
              <w:jc w:val="both"/>
              <w:rPr>
                <w:sz w:val="20"/>
                <w:szCs w:val="20"/>
              </w:rPr>
            </w:pPr>
            <w:r w:rsidRPr="007D1455">
              <w:rPr>
                <w:sz w:val="20"/>
                <w:szCs w:val="20"/>
              </w:rPr>
              <w:t>Выплата дохода по инвестиционному паю осуществляется не позднее 10 (Десяти) рабочих дней с даты составления списка лиц, имеющих право на получение дохода по инвестиционному паю.</w:t>
            </w:r>
          </w:p>
          <w:p w:rsidR="003635BF" w:rsidRPr="007D1455" w:rsidRDefault="003635BF" w:rsidP="003635BF">
            <w:pPr>
              <w:tabs>
                <w:tab w:val="left" w:pos="428"/>
              </w:tabs>
              <w:spacing w:after="60"/>
              <w:jc w:val="both"/>
              <w:rPr>
                <w:sz w:val="20"/>
                <w:szCs w:val="20"/>
              </w:rPr>
            </w:pPr>
            <w:r w:rsidRPr="007D1455">
              <w:rPr>
                <w:sz w:val="20"/>
                <w:szCs w:val="20"/>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на дату составления списка лиц, имеющих право на получение дохода по инвестиционному паю.</w:t>
            </w:r>
          </w:p>
          <w:p w:rsidR="003635BF" w:rsidRPr="007D1455" w:rsidRDefault="003635BF" w:rsidP="003635BF">
            <w:pPr>
              <w:tabs>
                <w:tab w:val="left" w:pos="428"/>
              </w:tabs>
              <w:spacing w:after="60"/>
              <w:jc w:val="both"/>
              <w:rPr>
                <w:sz w:val="20"/>
                <w:szCs w:val="20"/>
              </w:rPr>
            </w:pPr>
            <w:r w:rsidRPr="007D1455">
              <w:rPr>
                <w:sz w:val="20"/>
                <w:szCs w:val="20"/>
              </w:rPr>
              <w:t>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3635BF" w:rsidRPr="007D1455" w:rsidRDefault="003635BF" w:rsidP="003635BF">
            <w:pPr>
              <w:tabs>
                <w:tab w:val="left" w:pos="428"/>
              </w:tabs>
              <w:spacing w:after="60"/>
              <w:jc w:val="both"/>
              <w:rPr>
                <w:sz w:val="20"/>
                <w:szCs w:val="20"/>
              </w:rPr>
            </w:pPr>
            <w:r w:rsidRPr="007D1455">
              <w:rPr>
                <w:sz w:val="20"/>
                <w:szCs w:val="20"/>
              </w:rPr>
              <w:t>г) Порядок определения лиц, имеющих право на получение дохода по инвестиционному паю:</w:t>
            </w:r>
          </w:p>
          <w:p w:rsidR="005B6098" w:rsidRPr="007D1455" w:rsidRDefault="003635BF" w:rsidP="003635BF">
            <w:pPr>
              <w:tabs>
                <w:tab w:val="left" w:pos="428"/>
              </w:tabs>
              <w:autoSpaceDE w:val="0"/>
              <w:autoSpaceDN w:val="0"/>
              <w:adjustRightInd w:val="0"/>
              <w:ind w:firstLine="3"/>
              <w:jc w:val="both"/>
              <w:rPr>
                <w:b/>
                <w:sz w:val="20"/>
                <w:szCs w:val="20"/>
              </w:rPr>
            </w:pPr>
            <w:r w:rsidRPr="007D1455">
              <w:rPr>
                <w:sz w:val="20"/>
                <w:szCs w:val="20"/>
              </w:rPr>
              <w:t>Список лиц, имеющих право на получение дохода по инвестиционному паю, составляется на основании данных реестра владельцев инвестиционных паев по состоянию на седьмой рабочий день месяца, следующего за отчетным периодом, по итогам которого был начислен доход по инвестиционным паям.</w:t>
            </w:r>
          </w:p>
        </w:tc>
      </w:tr>
      <w:tr w:rsidR="00F92E83" w:rsidRPr="00291FCB" w:rsidTr="00FA2448">
        <w:trPr>
          <w:trHeight w:val="293"/>
        </w:trPr>
        <w:tc>
          <w:tcPr>
            <w:tcW w:w="425" w:type="dxa"/>
            <w:tcBorders>
              <w:top w:val="single" w:sz="2" w:space="0" w:color="auto"/>
              <w:bottom w:val="single" w:sz="2" w:space="0" w:color="auto"/>
            </w:tcBorders>
          </w:tcPr>
          <w:p w:rsidR="00F92E83" w:rsidRPr="00291FCB" w:rsidRDefault="00F92E83" w:rsidP="000A44BA">
            <w:pPr>
              <w:jc w:val="center"/>
              <w:rPr>
                <w:sz w:val="22"/>
                <w:szCs w:val="22"/>
              </w:rPr>
            </w:pPr>
            <w:r w:rsidRPr="00291FCB">
              <w:rPr>
                <w:sz w:val="22"/>
                <w:szCs w:val="22"/>
              </w:rPr>
              <w:lastRenderedPageBreak/>
              <w:t>2</w:t>
            </w:r>
          </w:p>
        </w:tc>
        <w:tc>
          <w:tcPr>
            <w:tcW w:w="1135" w:type="dxa"/>
            <w:tcBorders>
              <w:top w:val="single" w:sz="2" w:space="0" w:color="auto"/>
              <w:bottom w:val="single" w:sz="2" w:space="0" w:color="auto"/>
            </w:tcBorders>
          </w:tcPr>
          <w:p w:rsidR="00F92E83" w:rsidRPr="00490BC6" w:rsidRDefault="00F92E83" w:rsidP="000A44BA">
            <w:pPr>
              <w:jc w:val="center"/>
              <w:rPr>
                <w:sz w:val="20"/>
                <w:szCs w:val="20"/>
              </w:rPr>
            </w:pPr>
          </w:p>
        </w:tc>
        <w:tc>
          <w:tcPr>
            <w:tcW w:w="4252" w:type="dxa"/>
            <w:tcBorders>
              <w:top w:val="single" w:sz="2" w:space="0" w:color="auto"/>
              <w:bottom w:val="single" w:sz="2" w:space="0" w:color="auto"/>
            </w:tcBorders>
          </w:tcPr>
          <w:p w:rsidR="00F92E83" w:rsidRPr="00490BC6" w:rsidRDefault="00FA2448" w:rsidP="000A44BA">
            <w:pPr>
              <w:ind w:firstLine="317"/>
              <w:jc w:val="both"/>
              <w:rPr>
                <w:sz w:val="20"/>
                <w:szCs w:val="20"/>
              </w:rPr>
            </w:pPr>
            <w:r w:rsidRPr="00FA2448">
              <w:rPr>
                <w:sz w:val="20"/>
                <w:szCs w:val="20"/>
              </w:rPr>
              <w:t xml:space="preserve">Дополнить текст Правил пунктом </w:t>
            </w:r>
            <w:r>
              <w:rPr>
                <w:sz w:val="20"/>
                <w:szCs w:val="20"/>
              </w:rPr>
              <w:t>80.1</w:t>
            </w:r>
          </w:p>
        </w:tc>
        <w:tc>
          <w:tcPr>
            <w:tcW w:w="4394" w:type="dxa"/>
            <w:gridSpan w:val="3"/>
            <w:tcBorders>
              <w:top w:val="single" w:sz="2" w:space="0" w:color="auto"/>
              <w:bottom w:val="single" w:sz="2" w:space="0" w:color="auto"/>
            </w:tcBorders>
          </w:tcPr>
          <w:p w:rsidR="00FA2448" w:rsidRPr="00FA2448" w:rsidRDefault="00FA2448" w:rsidP="00202F51">
            <w:pPr>
              <w:autoSpaceDE w:val="0"/>
              <w:autoSpaceDN w:val="0"/>
              <w:adjustRightInd w:val="0"/>
              <w:ind w:firstLine="317"/>
              <w:jc w:val="both"/>
              <w:rPr>
                <w:sz w:val="20"/>
                <w:szCs w:val="20"/>
              </w:rPr>
            </w:pPr>
            <w:r w:rsidRPr="00FA2448">
              <w:rPr>
                <w:sz w:val="20"/>
                <w:szCs w:val="20"/>
              </w:rPr>
              <w:t>80.1. Управляющая компания вправе принять решение о частичном погашении инвестиционных паев без заявления владельцем инвестиционных паев требования об их погашении (далее – «частичное погашение»).</w:t>
            </w:r>
          </w:p>
          <w:p w:rsidR="00FA2448" w:rsidRPr="00FA2448" w:rsidRDefault="00FA2448" w:rsidP="00202F51">
            <w:pPr>
              <w:autoSpaceDE w:val="0"/>
              <w:autoSpaceDN w:val="0"/>
              <w:adjustRightInd w:val="0"/>
              <w:ind w:firstLine="317"/>
              <w:jc w:val="both"/>
              <w:rPr>
                <w:sz w:val="20"/>
                <w:szCs w:val="20"/>
              </w:rPr>
            </w:pPr>
            <w:r w:rsidRPr="00FA2448">
              <w:rPr>
                <w:sz w:val="20"/>
                <w:szCs w:val="20"/>
              </w:rPr>
              <w:t>Частичное погашение не осуществляется после возникновения основания для прекращения фонда.</w:t>
            </w:r>
          </w:p>
          <w:p w:rsidR="00FA2448" w:rsidRPr="00FA2448" w:rsidRDefault="00FA2448" w:rsidP="00202F51">
            <w:pPr>
              <w:autoSpaceDE w:val="0"/>
              <w:autoSpaceDN w:val="0"/>
              <w:adjustRightInd w:val="0"/>
              <w:ind w:firstLine="317"/>
              <w:jc w:val="both"/>
              <w:rPr>
                <w:sz w:val="20"/>
                <w:szCs w:val="20"/>
              </w:rPr>
            </w:pPr>
            <w:r w:rsidRPr="00FA2448">
              <w:rPr>
                <w:sz w:val="20"/>
                <w:szCs w:val="20"/>
              </w:rPr>
              <w:t xml:space="preserve">Ежегодные даты, по состоянию на которые на основании распоряжения управляющей компании в соответствии с требованиями подпункта 8.1 пункта 2 статьи 39 Федерального закона № 156-ФЗ «Об инвестиционных фондах», составляется список владельцев инвестиционных паев фонда для частичного погашения (далее – список владельцев): «31» мая, «30» сентября, «31» января. Если указанная </w:t>
            </w:r>
            <w:r w:rsidRPr="00FA2448">
              <w:rPr>
                <w:sz w:val="20"/>
                <w:szCs w:val="20"/>
              </w:rPr>
              <w:lastRenderedPageBreak/>
              <w:t>дата приходится на нерабочий день, список владельцев составляется на ближайший следующий за ним рабочий день. При этом дата, по состоянию на которую составляется список владельцев, не может быть ранее, чем через 3 месяца с даты, по состоянию на которую составлялся предыдущий список владельцев.</w:t>
            </w:r>
          </w:p>
          <w:p w:rsidR="00FA2448" w:rsidRPr="00FA2448" w:rsidRDefault="00FA2448" w:rsidP="00202F51">
            <w:pPr>
              <w:autoSpaceDE w:val="0"/>
              <w:autoSpaceDN w:val="0"/>
              <w:adjustRightInd w:val="0"/>
              <w:ind w:firstLine="317"/>
              <w:jc w:val="both"/>
              <w:rPr>
                <w:sz w:val="20"/>
                <w:szCs w:val="20"/>
              </w:rPr>
            </w:pPr>
            <w:r w:rsidRPr="00FA2448">
              <w:rPr>
                <w:sz w:val="20"/>
                <w:szCs w:val="20"/>
              </w:rPr>
              <w:t>При частичном погашении управляющая компания фонда направляет лицу, осуществляющему ведение реестра владельцев инвестиционных паев фонда, распоряжение о составлении списка владельцев, содержащее количество подлежащих погашению инвестиционных паев фонда, указанное в информации о дате составления списка владельцев.</w:t>
            </w:r>
          </w:p>
          <w:p w:rsidR="00FA2448" w:rsidRPr="00FA2448" w:rsidRDefault="00FA2448" w:rsidP="00202F51">
            <w:pPr>
              <w:autoSpaceDE w:val="0"/>
              <w:autoSpaceDN w:val="0"/>
              <w:adjustRightInd w:val="0"/>
              <w:ind w:firstLine="317"/>
              <w:jc w:val="both"/>
              <w:rPr>
                <w:sz w:val="20"/>
                <w:szCs w:val="20"/>
              </w:rPr>
            </w:pPr>
            <w:r w:rsidRPr="00FA2448">
              <w:rPr>
                <w:sz w:val="20"/>
                <w:szCs w:val="20"/>
              </w:rPr>
              <w:t>Максимальное количество инвестиционных паев фонда, которое погашается, может составлять не более 20 процентов от общего количества выданных инвестиционных паев фонда на дату составления списка владельцев.</w:t>
            </w:r>
          </w:p>
          <w:p w:rsidR="00FA2448" w:rsidRPr="00FA2448" w:rsidRDefault="00FA2448" w:rsidP="00202F51">
            <w:pPr>
              <w:autoSpaceDE w:val="0"/>
              <w:autoSpaceDN w:val="0"/>
              <w:adjustRightInd w:val="0"/>
              <w:ind w:firstLine="317"/>
              <w:jc w:val="both"/>
              <w:rPr>
                <w:sz w:val="20"/>
                <w:szCs w:val="20"/>
              </w:rPr>
            </w:pPr>
            <w:r w:rsidRPr="00FA2448">
              <w:rPr>
                <w:sz w:val="20"/>
                <w:szCs w:val="20"/>
              </w:rPr>
              <w:t>Количество инвестиционных паев фонда, подлежащих частичному погашению, должно выражаться в процентах от общего количества выданных инвестиционных паев фонда на дату составления списка владельцев.</w:t>
            </w:r>
          </w:p>
          <w:p w:rsidR="00FA2448" w:rsidRPr="00FA2448" w:rsidRDefault="00FA2448" w:rsidP="00202F51">
            <w:pPr>
              <w:autoSpaceDE w:val="0"/>
              <w:autoSpaceDN w:val="0"/>
              <w:adjustRightInd w:val="0"/>
              <w:ind w:firstLine="317"/>
              <w:jc w:val="both"/>
              <w:rPr>
                <w:sz w:val="20"/>
                <w:szCs w:val="20"/>
              </w:rPr>
            </w:pPr>
            <w:r w:rsidRPr="00FA2448">
              <w:rPr>
                <w:sz w:val="20"/>
                <w:szCs w:val="20"/>
              </w:rPr>
              <w:t>Количество инвестиционных паев фонда,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паев фонда.</w:t>
            </w:r>
          </w:p>
          <w:p w:rsidR="00FA2448" w:rsidRPr="00FA2448" w:rsidRDefault="00FA2448" w:rsidP="00202F51">
            <w:pPr>
              <w:autoSpaceDE w:val="0"/>
              <w:autoSpaceDN w:val="0"/>
              <w:adjustRightInd w:val="0"/>
              <w:ind w:firstLine="317"/>
              <w:jc w:val="both"/>
              <w:rPr>
                <w:sz w:val="20"/>
                <w:szCs w:val="20"/>
              </w:rPr>
            </w:pPr>
            <w:r w:rsidRPr="00FA2448">
              <w:rPr>
                <w:sz w:val="20"/>
                <w:szCs w:val="20"/>
              </w:rPr>
              <w:t>При этом отношение количества погашаемых инвестиционных паев к количеству инвестиционных паев, принадлежащих владельцу инвестиционных паев на дату составления списка владельцев, должно быть одинаковым для каждого владельца инвестиционных паев.</w:t>
            </w:r>
          </w:p>
          <w:p w:rsidR="00FA2448" w:rsidRPr="00FA2448" w:rsidRDefault="00FA2448" w:rsidP="00202F51">
            <w:pPr>
              <w:autoSpaceDE w:val="0"/>
              <w:autoSpaceDN w:val="0"/>
              <w:adjustRightInd w:val="0"/>
              <w:ind w:firstLine="317"/>
              <w:jc w:val="both"/>
              <w:rPr>
                <w:sz w:val="20"/>
                <w:szCs w:val="20"/>
              </w:rPr>
            </w:pPr>
            <w:r w:rsidRPr="00FA2448">
              <w:rPr>
                <w:sz w:val="20"/>
                <w:szCs w:val="20"/>
              </w:rPr>
              <w:t>Частичное погашение осуществляется в срок, не превышающий 10 (Десяти) рабочих дней с даты составления списка владельцев.</w:t>
            </w:r>
          </w:p>
          <w:p w:rsidR="00F92E83" w:rsidRPr="00FA2448" w:rsidRDefault="00FA2448" w:rsidP="00202F51">
            <w:pPr>
              <w:autoSpaceDE w:val="0"/>
              <w:autoSpaceDN w:val="0"/>
              <w:adjustRightInd w:val="0"/>
              <w:ind w:firstLine="317"/>
              <w:jc w:val="both"/>
              <w:rPr>
                <w:sz w:val="20"/>
                <w:szCs w:val="20"/>
              </w:rPr>
            </w:pPr>
            <w:r w:rsidRPr="00FA2448">
              <w:rPr>
                <w:sz w:val="20"/>
                <w:szCs w:val="20"/>
              </w:rPr>
              <w:t>Сумма денежной компенсации, подлежащей выплате в связи с частичным погашением, определяется на основе расчетной стоимости инвестиционного пая на дату составления списка владельцев.</w:t>
            </w:r>
          </w:p>
        </w:tc>
      </w:tr>
      <w:tr w:rsidR="00F92E83" w:rsidRPr="00291FCB" w:rsidTr="00FA2448">
        <w:trPr>
          <w:trHeight w:val="293"/>
        </w:trPr>
        <w:tc>
          <w:tcPr>
            <w:tcW w:w="425" w:type="dxa"/>
            <w:tcBorders>
              <w:top w:val="single" w:sz="2" w:space="0" w:color="auto"/>
              <w:bottom w:val="single" w:sz="2" w:space="0" w:color="auto"/>
            </w:tcBorders>
          </w:tcPr>
          <w:p w:rsidR="00F92E83" w:rsidRPr="00291FCB" w:rsidRDefault="00F92E83" w:rsidP="000A44BA">
            <w:pPr>
              <w:jc w:val="center"/>
              <w:rPr>
                <w:sz w:val="22"/>
                <w:szCs w:val="22"/>
              </w:rPr>
            </w:pPr>
            <w:r w:rsidRPr="00291FCB">
              <w:rPr>
                <w:sz w:val="22"/>
                <w:szCs w:val="22"/>
              </w:rPr>
              <w:lastRenderedPageBreak/>
              <w:t>3</w:t>
            </w:r>
          </w:p>
        </w:tc>
        <w:tc>
          <w:tcPr>
            <w:tcW w:w="1135" w:type="dxa"/>
            <w:tcBorders>
              <w:top w:val="single" w:sz="2" w:space="0" w:color="auto"/>
              <w:bottom w:val="single" w:sz="2" w:space="0" w:color="auto"/>
            </w:tcBorders>
          </w:tcPr>
          <w:p w:rsidR="00F92E83" w:rsidRPr="00490BC6" w:rsidRDefault="00FA2448" w:rsidP="000A44BA">
            <w:pPr>
              <w:jc w:val="center"/>
              <w:rPr>
                <w:sz w:val="20"/>
                <w:szCs w:val="20"/>
              </w:rPr>
            </w:pPr>
            <w:r>
              <w:rPr>
                <w:sz w:val="20"/>
                <w:szCs w:val="20"/>
              </w:rPr>
              <w:t>93.</w:t>
            </w:r>
          </w:p>
        </w:tc>
        <w:tc>
          <w:tcPr>
            <w:tcW w:w="4252" w:type="dxa"/>
            <w:tcBorders>
              <w:top w:val="single" w:sz="2" w:space="0" w:color="auto"/>
              <w:bottom w:val="single" w:sz="2" w:space="0" w:color="auto"/>
            </w:tcBorders>
          </w:tcPr>
          <w:p w:rsidR="00FA2448" w:rsidRPr="00FA2448" w:rsidRDefault="00202F51" w:rsidP="00202F51">
            <w:pPr>
              <w:tabs>
                <w:tab w:val="left" w:pos="428"/>
              </w:tabs>
              <w:autoSpaceDE w:val="0"/>
              <w:autoSpaceDN w:val="0"/>
              <w:adjustRightInd w:val="0"/>
              <w:ind w:firstLine="317"/>
              <w:jc w:val="both"/>
              <w:rPr>
                <w:sz w:val="20"/>
                <w:szCs w:val="20"/>
              </w:rPr>
            </w:pPr>
            <w:r>
              <w:rPr>
                <w:sz w:val="20"/>
                <w:szCs w:val="20"/>
              </w:rPr>
              <w:t xml:space="preserve">93. </w:t>
            </w:r>
            <w:r w:rsidR="00FA2448" w:rsidRPr="00FA2448">
              <w:rPr>
                <w:sz w:val="20"/>
                <w:szCs w:val="20"/>
              </w:rPr>
              <w:t>Выплата денежной компенсации осуществляется в течение одного месяца со дня окончания срока приема заявок на погашение инвестиционных паев.</w:t>
            </w:r>
          </w:p>
          <w:p w:rsidR="00F92E83" w:rsidRPr="00490BC6" w:rsidRDefault="00FA2448" w:rsidP="00202F51">
            <w:pPr>
              <w:tabs>
                <w:tab w:val="left" w:pos="428"/>
              </w:tabs>
              <w:autoSpaceDE w:val="0"/>
              <w:autoSpaceDN w:val="0"/>
              <w:adjustRightInd w:val="0"/>
              <w:ind w:firstLine="317"/>
              <w:jc w:val="both"/>
              <w:rPr>
                <w:sz w:val="20"/>
                <w:szCs w:val="20"/>
              </w:rPr>
            </w:pPr>
            <w:r w:rsidRPr="00FA2448">
              <w:rPr>
                <w:sz w:val="20"/>
                <w:szCs w:val="20"/>
              </w:rPr>
              <w:t>Требование настоящего пункта не распространяется на случаи погашения инвестиционных паев при прекращении фонда.</w:t>
            </w:r>
          </w:p>
        </w:tc>
        <w:tc>
          <w:tcPr>
            <w:tcW w:w="4394" w:type="dxa"/>
            <w:gridSpan w:val="3"/>
            <w:tcBorders>
              <w:top w:val="single" w:sz="2" w:space="0" w:color="auto"/>
              <w:bottom w:val="single" w:sz="2" w:space="0" w:color="auto"/>
            </w:tcBorders>
          </w:tcPr>
          <w:p w:rsidR="00FA2448" w:rsidRPr="00202F51" w:rsidRDefault="00202F51" w:rsidP="00202F51">
            <w:pPr>
              <w:tabs>
                <w:tab w:val="left" w:pos="428"/>
              </w:tabs>
              <w:autoSpaceDE w:val="0"/>
              <w:autoSpaceDN w:val="0"/>
              <w:adjustRightInd w:val="0"/>
              <w:ind w:firstLine="317"/>
              <w:jc w:val="both"/>
              <w:rPr>
                <w:b/>
                <w:sz w:val="20"/>
                <w:szCs w:val="20"/>
              </w:rPr>
            </w:pPr>
            <w:r>
              <w:rPr>
                <w:sz w:val="20"/>
                <w:szCs w:val="20"/>
              </w:rPr>
              <w:t xml:space="preserve">93. </w:t>
            </w:r>
            <w:r w:rsidR="00FA2448" w:rsidRPr="00FA2448">
              <w:rPr>
                <w:sz w:val="20"/>
                <w:szCs w:val="20"/>
              </w:rPr>
              <w:t xml:space="preserve">Выплата денежной компенсации осуществляется в течение одного месяца со дня окончания срока приема заявок на погашение инвестиционных паев, </w:t>
            </w:r>
            <w:r w:rsidR="00FA2448" w:rsidRPr="00202F51">
              <w:rPr>
                <w:b/>
                <w:sz w:val="20"/>
                <w:szCs w:val="20"/>
              </w:rPr>
              <w:t>а в случае погашения инвестиционных паев без заявления требования их владельца - одного месяца со дня такого погашения.</w:t>
            </w:r>
          </w:p>
          <w:p w:rsidR="00FA2448" w:rsidRPr="00FA2448" w:rsidRDefault="00FA2448" w:rsidP="00202F51">
            <w:pPr>
              <w:tabs>
                <w:tab w:val="left" w:pos="428"/>
              </w:tabs>
              <w:autoSpaceDE w:val="0"/>
              <w:autoSpaceDN w:val="0"/>
              <w:adjustRightInd w:val="0"/>
              <w:ind w:firstLine="317"/>
              <w:jc w:val="both"/>
              <w:rPr>
                <w:sz w:val="20"/>
                <w:szCs w:val="20"/>
              </w:rPr>
            </w:pPr>
            <w:r w:rsidRPr="00FA2448">
              <w:rPr>
                <w:sz w:val="20"/>
                <w:szCs w:val="20"/>
              </w:rPr>
              <w:t>Требование настоящего пункта не распространяется на случаи погашения инвестиционных паев при прекращении фонда.</w:t>
            </w:r>
          </w:p>
          <w:p w:rsidR="00F92E83" w:rsidRPr="00202F51" w:rsidRDefault="00FA2448" w:rsidP="00202F51">
            <w:pPr>
              <w:tabs>
                <w:tab w:val="left" w:pos="428"/>
              </w:tabs>
              <w:autoSpaceDE w:val="0"/>
              <w:autoSpaceDN w:val="0"/>
              <w:adjustRightInd w:val="0"/>
              <w:ind w:firstLine="317"/>
              <w:jc w:val="both"/>
              <w:rPr>
                <w:b/>
                <w:sz w:val="20"/>
                <w:szCs w:val="20"/>
              </w:rPr>
            </w:pPr>
            <w:r w:rsidRPr="00202F51">
              <w:rPr>
                <w:b/>
                <w:sz w:val="20"/>
                <w:szCs w:val="20"/>
              </w:rPr>
              <w:t xml:space="preserve">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w:t>
            </w:r>
            <w:r w:rsidRPr="00202F51">
              <w:rPr>
                <w:b/>
                <w:sz w:val="20"/>
                <w:szCs w:val="20"/>
              </w:rPr>
              <w:lastRenderedPageBreak/>
              <w:t>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p>
        </w:tc>
      </w:tr>
      <w:tr w:rsidR="00944DA9" w:rsidRPr="00291FCB" w:rsidTr="00FA2448">
        <w:trPr>
          <w:trHeight w:val="293"/>
        </w:trPr>
        <w:tc>
          <w:tcPr>
            <w:tcW w:w="425" w:type="dxa"/>
            <w:tcBorders>
              <w:top w:val="single" w:sz="2" w:space="0" w:color="auto"/>
              <w:bottom w:val="single" w:sz="2" w:space="0" w:color="auto"/>
            </w:tcBorders>
          </w:tcPr>
          <w:p w:rsidR="00944DA9" w:rsidRPr="00291FCB" w:rsidRDefault="00202F51" w:rsidP="000A44BA">
            <w:pPr>
              <w:jc w:val="center"/>
              <w:rPr>
                <w:sz w:val="22"/>
                <w:szCs w:val="22"/>
              </w:rPr>
            </w:pPr>
            <w:r>
              <w:rPr>
                <w:sz w:val="22"/>
                <w:szCs w:val="22"/>
              </w:rPr>
              <w:lastRenderedPageBreak/>
              <w:t>4</w:t>
            </w:r>
          </w:p>
        </w:tc>
        <w:tc>
          <w:tcPr>
            <w:tcW w:w="1135" w:type="dxa"/>
            <w:tcBorders>
              <w:top w:val="single" w:sz="2" w:space="0" w:color="auto"/>
              <w:bottom w:val="single" w:sz="2" w:space="0" w:color="auto"/>
            </w:tcBorders>
          </w:tcPr>
          <w:p w:rsidR="00944DA9" w:rsidRPr="00490BC6" w:rsidRDefault="00330EC7" w:rsidP="00330EC7">
            <w:pPr>
              <w:rPr>
                <w:sz w:val="20"/>
                <w:szCs w:val="20"/>
              </w:rPr>
            </w:pPr>
            <w:proofErr w:type="spellStart"/>
            <w:r>
              <w:rPr>
                <w:sz w:val="20"/>
                <w:szCs w:val="20"/>
              </w:rPr>
              <w:t>пп</w:t>
            </w:r>
            <w:proofErr w:type="spellEnd"/>
            <w:r>
              <w:rPr>
                <w:sz w:val="20"/>
                <w:szCs w:val="20"/>
              </w:rPr>
              <w:t>. 17 п. 99</w:t>
            </w:r>
          </w:p>
        </w:tc>
        <w:tc>
          <w:tcPr>
            <w:tcW w:w="4252" w:type="dxa"/>
            <w:tcBorders>
              <w:top w:val="single" w:sz="2" w:space="0" w:color="auto"/>
              <w:bottom w:val="single" w:sz="2" w:space="0" w:color="auto"/>
            </w:tcBorders>
          </w:tcPr>
          <w:p w:rsidR="00944DA9" w:rsidRPr="00490BC6" w:rsidRDefault="00330EC7" w:rsidP="00F7138E">
            <w:pPr>
              <w:autoSpaceDE w:val="0"/>
              <w:autoSpaceDN w:val="0"/>
              <w:adjustRightInd w:val="0"/>
              <w:jc w:val="both"/>
              <w:rPr>
                <w:sz w:val="20"/>
                <w:szCs w:val="20"/>
              </w:rPr>
            </w:pPr>
            <w:r w:rsidRPr="00330EC7">
              <w:rPr>
                <w:sz w:val="20"/>
                <w:szCs w:val="20"/>
              </w:rPr>
              <w:t xml:space="preserve">17) иные расходы, не указанные в настоящих Правилах, при условии, что такие расходы допустимы в соответствии с Федеральным законом от 29 ноября 2001 года № 156-ФЗ «Об инвестиционных фондах» и совокупный предельный размер таких расходов составляет не более </w:t>
            </w:r>
            <w:r w:rsidRPr="00330EC7">
              <w:rPr>
                <w:b/>
                <w:sz w:val="20"/>
                <w:szCs w:val="20"/>
              </w:rPr>
              <w:t>0,1 (Ноль целых одной десятой)</w:t>
            </w:r>
            <w:r w:rsidRPr="00330EC7">
              <w:rPr>
                <w:sz w:val="20"/>
                <w:szCs w:val="20"/>
              </w:rPr>
              <w:t xml:space="preserve"> процента (с учетом налога на добавленную стоимость) среднегодовой стоимости чистых активов фонда.</w:t>
            </w:r>
          </w:p>
        </w:tc>
        <w:tc>
          <w:tcPr>
            <w:tcW w:w="4394" w:type="dxa"/>
            <w:gridSpan w:val="3"/>
            <w:tcBorders>
              <w:top w:val="single" w:sz="2" w:space="0" w:color="auto"/>
              <w:bottom w:val="single" w:sz="2" w:space="0" w:color="auto"/>
            </w:tcBorders>
          </w:tcPr>
          <w:p w:rsidR="00944DA9" w:rsidRPr="00490BC6" w:rsidRDefault="00330EC7" w:rsidP="00330EC7">
            <w:pPr>
              <w:autoSpaceDE w:val="0"/>
              <w:autoSpaceDN w:val="0"/>
              <w:adjustRightInd w:val="0"/>
              <w:jc w:val="both"/>
              <w:rPr>
                <w:sz w:val="20"/>
                <w:szCs w:val="20"/>
              </w:rPr>
            </w:pPr>
            <w:r w:rsidRPr="00330EC7">
              <w:rPr>
                <w:sz w:val="20"/>
                <w:szCs w:val="20"/>
              </w:rPr>
              <w:t xml:space="preserve">17) иные расходы, не указанные в настоящих Правилах, при условии, что такие расходы допустимы в соответствии с Федеральным законом от 29 ноября 2001 года № 156-ФЗ «Об инвестиционных фондах» и совокупный предельный размер таких расходов составляет не более </w:t>
            </w:r>
            <w:r w:rsidRPr="00330EC7">
              <w:rPr>
                <w:b/>
                <w:sz w:val="20"/>
                <w:szCs w:val="20"/>
              </w:rPr>
              <w:t>1 (Одного) процента</w:t>
            </w:r>
            <w:r w:rsidRPr="00330EC7">
              <w:rPr>
                <w:sz w:val="20"/>
                <w:szCs w:val="20"/>
              </w:rPr>
              <w:t xml:space="preserve"> (с учетом налога на добавленную стоимость) среднегодовой стоимости чистых активов фонда.</w:t>
            </w:r>
          </w:p>
        </w:tc>
      </w:tr>
      <w:tr w:rsidR="00904114" w:rsidRPr="00291FCB" w:rsidTr="00FA24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65" w:type="dxa"/>
          <w:trHeight w:val="991"/>
        </w:trPr>
        <w:tc>
          <w:tcPr>
            <w:tcW w:w="6172" w:type="dxa"/>
            <w:gridSpan w:val="4"/>
          </w:tcPr>
          <w:p w:rsidR="007E5105" w:rsidRPr="007A06EF" w:rsidRDefault="007E5105" w:rsidP="00620675">
            <w:pPr>
              <w:autoSpaceDE w:val="0"/>
              <w:autoSpaceDN w:val="0"/>
              <w:adjustRightInd w:val="0"/>
              <w:ind w:firstLine="347"/>
              <w:jc w:val="both"/>
              <w:rPr>
                <w:sz w:val="20"/>
                <w:szCs w:val="20"/>
              </w:rPr>
            </w:pPr>
          </w:p>
          <w:p w:rsidR="00E05A97" w:rsidRPr="007A06EF" w:rsidRDefault="00E05A97" w:rsidP="00620675">
            <w:pPr>
              <w:autoSpaceDE w:val="0"/>
              <w:autoSpaceDN w:val="0"/>
              <w:adjustRightInd w:val="0"/>
              <w:ind w:firstLine="347"/>
              <w:jc w:val="both"/>
              <w:rPr>
                <w:sz w:val="20"/>
                <w:szCs w:val="20"/>
              </w:rPr>
            </w:pPr>
          </w:p>
          <w:p w:rsidR="00904114" w:rsidRPr="007A06EF" w:rsidRDefault="007A666A" w:rsidP="00620675">
            <w:pPr>
              <w:autoSpaceDE w:val="0"/>
              <w:autoSpaceDN w:val="0"/>
              <w:adjustRightInd w:val="0"/>
              <w:ind w:firstLine="347"/>
              <w:jc w:val="both"/>
              <w:rPr>
                <w:sz w:val="20"/>
                <w:szCs w:val="20"/>
              </w:rPr>
            </w:pPr>
            <w:proofErr w:type="spellStart"/>
            <w:r>
              <w:rPr>
                <w:bCs/>
                <w:sz w:val="20"/>
                <w:szCs w:val="20"/>
              </w:rPr>
              <w:t>И.о</w:t>
            </w:r>
            <w:proofErr w:type="spellEnd"/>
            <w:r>
              <w:rPr>
                <w:bCs/>
                <w:sz w:val="20"/>
                <w:szCs w:val="20"/>
              </w:rPr>
              <w:t xml:space="preserve">. </w:t>
            </w:r>
            <w:r w:rsidRPr="000A44BA">
              <w:rPr>
                <w:bCs/>
                <w:sz w:val="20"/>
                <w:szCs w:val="20"/>
              </w:rPr>
              <w:t>Генерального директора</w:t>
            </w:r>
            <w:bookmarkStart w:id="1" w:name="_GoBack"/>
            <w:bookmarkEnd w:id="1"/>
            <w:r w:rsidR="00904114" w:rsidRPr="007A06EF">
              <w:rPr>
                <w:sz w:val="20"/>
                <w:szCs w:val="20"/>
              </w:rPr>
              <w:t xml:space="preserve">                                                                                                                             </w:t>
            </w:r>
          </w:p>
          <w:p w:rsidR="00904114" w:rsidRPr="007A06EF" w:rsidRDefault="00904114" w:rsidP="00904114">
            <w:pPr>
              <w:autoSpaceDE w:val="0"/>
              <w:autoSpaceDN w:val="0"/>
              <w:adjustRightInd w:val="0"/>
              <w:ind w:firstLine="347"/>
              <w:jc w:val="both"/>
              <w:rPr>
                <w:sz w:val="20"/>
                <w:szCs w:val="20"/>
              </w:rPr>
            </w:pPr>
            <w:r w:rsidRPr="007A06EF">
              <w:rPr>
                <w:sz w:val="20"/>
                <w:szCs w:val="20"/>
              </w:rPr>
              <w:t xml:space="preserve">ТКБ </w:t>
            </w:r>
            <w:proofErr w:type="spellStart"/>
            <w:r w:rsidRPr="007A06EF">
              <w:rPr>
                <w:sz w:val="20"/>
                <w:szCs w:val="20"/>
              </w:rPr>
              <w:t>Инвестмент</w:t>
            </w:r>
            <w:proofErr w:type="spellEnd"/>
            <w:r w:rsidRPr="007A06EF">
              <w:rPr>
                <w:sz w:val="20"/>
                <w:szCs w:val="20"/>
              </w:rPr>
              <w:t xml:space="preserve"> </w:t>
            </w:r>
            <w:proofErr w:type="spellStart"/>
            <w:r w:rsidRPr="007A06EF">
              <w:rPr>
                <w:sz w:val="20"/>
                <w:szCs w:val="20"/>
              </w:rPr>
              <w:t>Партнерс</w:t>
            </w:r>
            <w:proofErr w:type="spellEnd"/>
            <w:r w:rsidRPr="007A06EF">
              <w:rPr>
                <w:sz w:val="20"/>
                <w:szCs w:val="20"/>
              </w:rPr>
              <w:t xml:space="preserve"> (АО)</w:t>
            </w:r>
          </w:p>
        </w:tc>
        <w:tc>
          <w:tcPr>
            <w:tcW w:w="3569" w:type="dxa"/>
          </w:tcPr>
          <w:p w:rsidR="007E5105" w:rsidRPr="007A06EF" w:rsidRDefault="007E5105" w:rsidP="00620675">
            <w:pPr>
              <w:autoSpaceDE w:val="0"/>
              <w:autoSpaceDN w:val="0"/>
              <w:adjustRightInd w:val="0"/>
              <w:ind w:firstLine="347"/>
              <w:jc w:val="both"/>
              <w:rPr>
                <w:sz w:val="20"/>
                <w:szCs w:val="20"/>
              </w:rPr>
            </w:pPr>
          </w:p>
          <w:p w:rsidR="00E05A97" w:rsidRPr="007A06EF" w:rsidRDefault="00E05A97" w:rsidP="00620675">
            <w:pPr>
              <w:autoSpaceDE w:val="0"/>
              <w:autoSpaceDN w:val="0"/>
              <w:adjustRightInd w:val="0"/>
              <w:ind w:firstLine="347"/>
              <w:jc w:val="both"/>
              <w:rPr>
                <w:sz w:val="20"/>
                <w:szCs w:val="20"/>
              </w:rPr>
            </w:pPr>
          </w:p>
          <w:p w:rsidR="00904114" w:rsidRPr="007A06EF" w:rsidRDefault="008E6A1E" w:rsidP="007A666A">
            <w:pPr>
              <w:autoSpaceDE w:val="0"/>
              <w:autoSpaceDN w:val="0"/>
              <w:adjustRightInd w:val="0"/>
              <w:ind w:firstLine="347"/>
              <w:jc w:val="center"/>
              <w:rPr>
                <w:sz w:val="20"/>
                <w:szCs w:val="20"/>
              </w:rPr>
            </w:pPr>
            <w:r w:rsidRPr="007A06EF">
              <w:rPr>
                <w:sz w:val="20"/>
                <w:szCs w:val="20"/>
              </w:rPr>
              <w:t xml:space="preserve">         </w:t>
            </w:r>
            <w:r w:rsidR="00291FCB" w:rsidRPr="007A06EF">
              <w:rPr>
                <w:sz w:val="20"/>
                <w:szCs w:val="20"/>
              </w:rPr>
              <w:t xml:space="preserve">   </w:t>
            </w:r>
            <w:r w:rsidR="00904114" w:rsidRPr="007A06EF">
              <w:rPr>
                <w:sz w:val="20"/>
                <w:szCs w:val="20"/>
              </w:rPr>
              <w:t xml:space="preserve">               </w:t>
            </w:r>
            <w:r w:rsidR="007A666A" w:rsidRPr="007A666A">
              <w:rPr>
                <w:sz w:val="20"/>
                <w:szCs w:val="20"/>
              </w:rPr>
              <w:t>А.А.</w:t>
            </w:r>
            <w:r w:rsidR="007A666A">
              <w:rPr>
                <w:sz w:val="20"/>
                <w:szCs w:val="20"/>
              </w:rPr>
              <w:t xml:space="preserve"> </w:t>
            </w:r>
            <w:r w:rsidR="007A666A" w:rsidRPr="007A666A">
              <w:rPr>
                <w:sz w:val="20"/>
                <w:szCs w:val="20"/>
              </w:rPr>
              <w:t xml:space="preserve">Коровкин </w:t>
            </w:r>
          </w:p>
        </w:tc>
      </w:tr>
    </w:tbl>
    <w:p w:rsidR="00D42585" w:rsidRPr="00291FCB" w:rsidRDefault="00D42585" w:rsidP="00291FCB">
      <w:pPr>
        <w:tabs>
          <w:tab w:val="left" w:pos="9072"/>
        </w:tabs>
        <w:spacing w:after="60"/>
        <w:rPr>
          <w:sz w:val="22"/>
          <w:szCs w:val="22"/>
        </w:rPr>
      </w:pPr>
    </w:p>
    <w:sectPr w:rsidR="00D42585" w:rsidRPr="00291FCB" w:rsidSect="009601EE">
      <w:footerReference w:type="default" r:id="rId8"/>
      <w:pgSz w:w="11906" w:h="16838"/>
      <w:pgMar w:top="680" w:right="849" w:bottom="62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9C5" w:rsidRDefault="00BF19C5" w:rsidP="00D95E90">
      <w:pPr>
        <w:pStyle w:val="ConsPlusNormal"/>
      </w:pPr>
      <w:r>
        <w:separator/>
      </w:r>
    </w:p>
  </w:endnote>
  <w:endnote w:type="continuationSeparator" w:id="0">
    <w:p w:rsidR="00BF19C5" w:rsidRDefault="00BF19C5" w:rsidP="00D95E90">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F6" w:rsidRDefault="004253F6" w:rsidP="00F62276">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4348">
      <w:rPr>
        <w:rStyle w:val="a5"/>
        <w:noProof/>
      </w:rPr>
      <w:t>3</w:t>
    </w:r>
    <w:r>
      <w:rPr>
        <w:rStyle w:val="a5"/>
      </w:rPr>
      <w:fldChar w:fldCharType="end"/>
    </w:r>
  </w:p>
  <w:p w:rsidR="004253F6" w:rsidRDefault="004253F6" w:rsidP="00CA5C8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9C5" w:rsidRDefault="00BF19C5" w:rsidP="00D95E90">
      <w:pPr>
        <w:pStyle w:val="ConsPlusNormal"/>
      </w:pPr>
      <w:r>
        <w:separator/>
      </w:r>
    </w:p>
  </w:footnote>
  <w:footnote w:type="continuationSeparator" w:id="0">
    <w:p w:rsidR="00BF19C5" w:rsidRDefault="00BF19C5" w:rsidP="00D95E90">
      <w:pPr>
        <w:pStyle w:val="ConsPlusNorm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24CD60"/>
    <w:lvl w:ilvl="0">
      <w:numFmt w:val="bullet"/>
      <w:lvlText w:val="*"/>
      <w:lvlJc w:val="left"/>
    </w:lvl>
  </w:abstractNum>
  <w:abstractNum w:abstractNumId="1" w15:restartNumberingAfterBreak="0">
    <w:nsid w:val="102041E2"/>
    <w:multiLevelType w:val="multilevel"/>
    <w:tmpl w:val="7026C47A"/>
    <w:lvl w:ilvl="0">
      <w:start w:val="5"/>
      <w:numFmt w:val="decimal"/>
      <w:lvlText w:val="%1."/>
      <w:lvlJc w:val="left"/>
      <w:pPr>
        <w:ind w:left="375" w:hanging="37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F542046"/>
    <w:multiLevelType w:val="multilevel"/>
    <w:tmpl w:val="EDD47EE0"/>
    <w:lvl w:ilvl="0">
      <w:start w:val="32"/>
      <w:numFmt w:val="decimal"/>
      <w:lvlText w:val="%1."/>
      <w:lvlJc w:val="left"/>
      <w:pPr>
        <w:ind w:left="780" w:hanging="780"/>
      </w:pPr>
      <w:rPr>
        <w:rFonts w:cs="Times New Roman" w:hint="default"/>
      </w:rPr>
    </w:lvl>
    <w:lvl w:ilvl="1">
      <w:start w:val="5"/>
      <w:numFmt w:val="decimal"/>
      <w:lvlText w:val="%1.%2."/>
      <w:lvlJc w:val="left"/>
      <w:pPr>
        <w:ind w:left="938" w:hanging="780"/>
      </w:pPr>
      <w:rPr>
        <w:rFonts w:cs="Times New Roman" w:hint="default"/>
      </w:rPr>
    </w:lvl>
    <w:lvl w:ilvl="2">
      <w:start w:val="11"/>
      <w:numFmt w:val="decimal"/>
      <w:lvlText w:val="%1.%2.%3."/>
      <w:lvlJc w:val="left"/>
      <w:pPr>
        <w:ind w:left="1096" w:hanging="780"/>
      </w:pPr>
      <w:rPr>
        <w:rFonts w:cs="Times New Roman" w:hint="default"/>
        <w:b/>
      </w:rPr>
    </w:lvl>
    <w:lvl w:ilvl="3">
      <w:start w:val="1"/>
      <w:numFmt w:val="decimal"/>
      <w:lvlText w:val="%1.%2.%3.%4."/>
      <w:lvlJc w:val="left"/>
      <w:pPr>
        <w:ind w:left="1254" w:hanging="780"/>
      </w:pPr>
      <w:rPr>
        <w:rFonts w:cs="Times New Roman" w:hint="default"/>
      </w:rPr>
    </w:lvl>
    <w:lvl w:ilvl="4">
      <w:start w:val="1"/>
      <w:numFmt w:val="decimal"/>
      <w:lvlText w:val="%1.%2.%3.%4.%5."/>
      <w:lvlJc w:val="left"/>
      <w:pPr>
        <w:ind w:left="1712" w:hanging="1080"/>
      </w:pPr>
      <w:rPr>
        <w:rFonts w:cs="Times New Roman" w:hint="default"/>
      </w:rPr>
    </w:lvl>
    <w:lvl w:ilvl="5">
      <w:start w:val="1"/>
      <w:numFmt w:val="decimal"/>
      <w:lvlText w:val="%1.%2.%3.%4.%5.%6."/>
      <w:lvlJc w:val="left"/>
      <w:pPr>
        <w:ind w:left="1870" w:hanging="1080"/>
      </w:pPr>
      <w:rPr>
        <w:rFonts w:cs="Times New Roman" w:hint="default"/>
      </w:rPr>
    </w:lvl>
    <w:lvl w:ilvl="6">
      <w:start w:val="1"/>
      <w:numFmt w:val="decimal"/>
      <w:lvlText w:val="%1.%2.%3.%4.%5.%6.%7."/>
      <w:lvlJc w:val="left"/>
      <w:pPr>
        <w:ind w:left="2388" w:hanging="1440"/>
      </w:pPr>
      <w:rPr>
        <w:rFonts w:cs="Times New Roman" w:hint="default"/>
      </w:rPr>
    </w:lvl>
    <w:lvl w:ilvl="7">
      <w:start w:val="1"/>
      <w:numFmt w:val="decimal"/>
      <w:lvlText w:val="%1.%2.%3.%4.%5.%6.%7.%8."/>
      <w:lvlJc w:val="left"/>
      <w:pPr>
        <w:ind w:left="2546" w:hanging="1440"/>
      </w:pPr>
      <w:rPr>
        <w:rFonts w:cs="Times New Roman" w:hint="default"/>
      </w:rPr>
    </w:lvl>
    <w:lvl w:ilvl="8">
      <w:start w:val="1"/>
      <w:numFmt w:val="decimal"/>
      <w:lvlText w:val="%1.%2.%3.%4.%5.%6.%7.%8.%9."/>
      <w:lvlJc w:val="left"/>
      <w:pPr>
        <w:ind w:left="3064" w:hanging="1800"/>
      </w:pPr>
      <w:rPr>
        <w:rFonts w:cs="Times New Roman" w:hint="default"/>
      </w:rPr>
    </w:lvl>
  </w:abstractNum>
  <w:abstractNum w:abstractNumId="3" w15:restartNumberingAfterBreak="0">
    <w:nsid w:val="25A96B27"/>
    <w:multiLevelType w:val="multilevel"/>
    <w:tmpl w:val="0FF813C8"/>
    <w:lvl w:ilvl="0">
      <w:start w:val="32"/>
      <w:numFmt w:val="decimal"/>
      <w:lvlText w:val="%1."/>
      <w:lvlJc w:val="left"/>
      <w:pPr>
        <w:ind w:left="660" w:hanging="660"/>
      </w:pPr>
      <w:rPr>
        <w:rFonts w:cs="Times New Roman" w:hint="default"/>
      </w:rPr>
    </w:lvl>
    <w:lvl w:ilvl="1">
      <w:start w:val="5"/>
      <w:numFmt w:val="decimal"/>
      <w:lvlText w:val="%1.%2."/>
      <w:lvlJc w:val="left"/>
      <w:pPr>
        <w:ind w:left="818" w:hanging="660"/>
      </w:pPr>
      <w:rPr>
        <w:rFonts w:cs="Times New Roman" w:hint="default"/>
      </w:rPr>
    </w:lvl>
    <w:lvl w:ilvl="2">
      <w:start w:val="2"/>
      <w:numFmt w:val="decimal"/>
      <w:lvlText w:val="%1.%2.%3."/>
      <w:lvlJc w:val="left"/>
      <w:pPr>
        <w:ind w:left="1036" w:hanging="720"/>
      </w:pPr>
      <w:rPr>
        <w:rFonts w:cs="Times New Roman" w:hint="default"/>
        <w:b/>
      </w:rPr>
    </w:lvl>
    <w:lvl w:ilvl="3">
      <w:start w:val="1"/>
      <w:numFmt w:val="decimal"/>
      <w:lvlText w:val="%1.%2.%3.%4."/>
      <w:lvlJc w:val="left"/>
      <w:pPr>
        <w:ind w:left="1194" w:hanging="720"/>
      </w:pPr>
      <w:rPr>
        <w:rFonts w:cs="Times New Roman" w:hint="default"/>
      </w:rPr>
    </w:lvl>
    <w:lvl w:ilvl="4">
      <w:start w:val="1"/>
      <w:numFmt w:val="decimal"/>
      <w:lvlText w:val="%1.%2.%3.%4.%5."/>
      <w:lvlJc w:val="left"/>
      <w:pPr>
        <w:ind w:left="1712" w:hanging="1080"/>
      </w:pPr>
      <w:rPr>
        <w:rFonts w:cs="Times New Roman" w:hint="default"/>
      </w:rPr>
    </w:lvl>
    <w:lvl w:ilvl="5">
      <w:start w:val="1"/>
      <w:numFmt w:val="decimal"/>
      <w:lvlText w:val="%1.%2.%3.%4.%5.%6."/>
      <w:lvlJc w:val="left"/>
      <w:pPr>
        <w:ind w:left="1870" w:hanging="1080"/>
      </w:pPr>
      <w:rPr>
        <w:rFonts w:cs="Times New Roman" w:hint="default"/>
      </w:rPr>
    </w:lvl>
    <w:lvl w:ilvl="6">
      <w:start w:val="1"/>
      <w:numFmt w:val="decimal"/>
      <w:lvlText w:val="%1.%2.%3.%4.%5.%6.%7."/>
      <w:lvlJc w:val="left"/>
      <w:pPr>
        <w:ind w:left="2388" w:hanging="1440"/>
      </w:pPr>
      <w:rPr>
        <w:rFonts w:cs="Times New Roman" w:hint="default"/>
      </w:rPr>
    </w:lvl>
    <w:lvl w:ilvl="7">
      <w:start w:val="1"/>
      <w:numFmt w:val="decimal"/>
      <w:lvlText w:val="%1.%2.%3.%4.%5.%6.%7.%8."/>
      <w:lvlJc w:val="left"/>
      <w:pPr>
        <w:ind w:left="2546" w:hanging="1440"/>
      </w:pPr>
      <w:rPr>
        <w:rFonts w:cs="Times New Roman" w:hint="default"/>
      </w:rPr>
    </w:lvl>
    <w:lvl w:ilvl="8">
      <w:start w:val="1"/>
      <w:numFmt w:val="decimal"/>
      <w:lvlText w:val="%1.%2.%3.%4.%5.%6.%7.%8.%9."/>
      <w:lvlJc w:val="left"/>
      <w:pPr>
        <w:ind w:left="3064" w:hanging="1800"/>
      </w:pPr>
      <w:rPr>
        <w:rFonts w:cs="Times New Roman" w:hint="default"/>
      </w:rPr>
    </w:lvl>
  </w:abstractNum>
  <w:abstractNum w:abstractNumId="4" w15:restartNumberingAfterBreak="0">
    <w:nsid w:val="2666531F"/>
    <w:multiLevelType w:val="hybridMultilevel"/>
    <w:tmpl w:val="2B2ED0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C7F411A"/>
    <w:multiLevelType w:val="hybridMultilevel"/>
    <w:tmpl w:val="87EE4E94"/>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B3A0047"/>
    <w:multiLevelType w:val="hybridMultilevel"/>
    <w:tmpl w:val="BB86A0E0"/>
    <w:lvl w:ilvl="0" w:tplc="E68648D0">
      <w:start w:val="1"/>
      <w:numFmt w:val="decimal"/>
      <w:lvlText w:val="%1)"/>
      <w:lvlJc w:val="left"/>
      <w:pPr>
        <w:ind w:left="947" w:hanging="600"/>
      </w:pPr>
      <w:rPr>
        <w:rFonts w:cs="Times New Roman" w:hint="default"/>
      </w:rPr>
    </w:lvl>
    <w:lvl w:ilvl="1" w:tplc="04190019" w:tentative="1">
      <w:start w:val="1"/>
      <w:numFmt w:val="lowerLetter"/>
      <w:lvlText w:val="%2."/>
      <w:lvlJc w:val="left"/>
      <w:pPr>
        <w:ind w:left="1427" w:hanging="360"/>
      </w:pPr>
      <w:rPr>
        <w:rFonts w:cs="Times New Roman"/>
      </w:rPr>
    </w:lvl>
    <w:lvl w:ilvl="2" w:tplc="0419001B" w:tentative="1">
      <w:start w:val="1"/>
      <w:numFmt w:val="lowerRoman"/>
      <w:lvlText w:val="%3."/>
      <w:lvlJc w:val="right"/>
      <w:pPr>
        <w:ind w:left="2147" w:hanging="180"/>
      </w:pPr>
      <w:rPr>
        <w:rFonts w:cs="Times New Roman"/>
      </w:rPr>
    </w:lvl>
    <w:lvl w:ilvl="3" w:tplc="0419000F" w:tentative="1">
      <w:start w:val="1"/>
      <w:numFmt w:val="decimal"/>
      <w:lvlText w:val="%4."/>
      <w:lvlJc w:val="left"/>
      <w:pPr>
        <w:ind w:left="2867" w:hanging="360"/>
      </w:pPr>
      <w:rPr>
        <w:rFonts w:cs="Times New Roman"/>
      </w:rPr>
    </w:lvl>
    <w:lvl w:ilvl="4" w:tplc="04190019" w:tentative="1">
      <w:start w:val="1"/>
      <w:numFmt w:val="lowerLetter"/>
      <w:lvlText w:val="%5."/>
      <w:lvlJc w:val="left"/>
      <w:pPr>
        <w:ind w:left="3587" w:hanging="360"/>
      </w:pPr>
      <w:rPr>
        <w:rFonts w:cs="Times New Roman"/>
      </w:rPr>
    </w:lvl>
    <w:lvl w:ilvl="5" w:tplc="0419001B" w:tentative="1">
      <w:start w:val="1"/>
      <w:numFmt w:val="lowerRoman"/>
      <w:lvlText w:val="%6."/>
      <w:lvlJc w:val="right"/>
      <w:pPr>
        <w:ind w:left="4307" w:hanging="180"/>
      </w:pPr>
      <w:rPr>
        <w:rFonts w:cs="Times New Roman"/>
      </w:rPr>
    </w:lvl>
    <w:lvl w:ilvl="6" w:tplc="0419000F" w:tentative="1">
      <w:start w:val="1"/>
      <w:numFmt w:val="decimal"/>
      <w:lvlText w:val="%7."/>
      <w:lvlJc w:val="left"/>
      <w:pPr>
        <w:ind w:left="5027" w:hanging="360"/>
      </w:pPr>
      <w:rPr>
        <w:rFonts w:cs="Times New Roman"/>
      </w:rPr>
    </w:lvl>
    <w:lvl w:ilvl="7" w:tplc="04190019" w:tentative="1">
      <w:start w:val="1"/>
      <w:numFmt w:val="lowerLetter"/>
      <w:lvlText w:val="%8."/>
      <w:lvlJc w:val="left"/>
      <w:pPr>
        <w:ind w:left="5747" w:hanging="360"/>
      </w:pPr>
      <w:rPr>
        <w:rFonts w:cs="Times New Roman"/>
      </w:rPr>
    </w:lvl>
    <w:lvl w:ilvl="8" w:tplc="0419001B" w:tentative="1">
      <w:start w:val="1"/>
      <w:numFmt w:val="lowerRoman"/>
      <w:lvlText w:val="%9."/>
      <w:lvlJc w:val="right"/>
      <w:pPr>
        <w:ind w:left="6467" w:hanging="180"/>
      </w:pPr>
      <w:rPr>
        <w:rFonts w:cs="Times New Roman"/>
      </w:rPr>
    </w:lvl>
  </w:abstractNum>
  <w:num w:numId="1">
    <w:abstractNumId w:val="1"/>
  </w:num>
  <w:num w:numId="2">
    <w:abstractNumId w:val="6"/>
  </w:num>
  <w:num w:numId="3">
    <w:abstractNumId w:val="3"/>
  </w:num>
  <w:num w:numId="4">
    <w:abstractNumId w:val="2"/>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85"/>
    <w:rsid w:val="00011C28"/>
    <w:rsid w:val="00016212"/>
    <w:rsid w:val="0002652E"/>
    <w:rsid w:val="000324F0"/>
    <w:rsid w:val="0003764D"/>
    <w:rsid w:val="0004219D"/>
    <w:rsid w:val="000435E8"/>
    <w:rsid w:val="0005467F"/>
    <w:rsid w:val="00072C2D"/>
    <w:rsid w:val="00083435"/>
    <w:rsid w:val="00090EF7"/>
    <w:rsid w:val="00093AD8"/>
    <w:rsid w:val="0009696B"/>
    <w:rsid w:val="000A44BA"/>
    <w:rsid w:val="000A68FE"/>
    <w:rsid w:val="000B5528"/>
    <w:rsid w:val="000B5DAF"/>
    <w:rsid w:val="000C0A28"/>
    <w:rsid w:val="000C30DB"/>
    <w:rsid w:val="000D09E3"/>
    <w:rsid w:val="000E0141"/>
    <w:rsid w:val="000E0160"/>
    <w:rsid w:val="000E5E6B"/>
    <w:rsid w:val="000F7931"/>
    <w:rsid w:val="00102A21"/>
    <w:rsid w:val="001100FC"/>
    <w:rsid w:val="0011049D"/>
    <w:rsid w:val="00111E92"/>
    <w:rsid w:val="00113335"/>
    <w:rsid w:val="00115B7B"/>
    <w:rsid w:val="00132EF0"/>
    <w:rsid w:val="001410E8"/>
    <w:rsid w:val="00141CFE"/>
    <w:rsid w:val="0015048A"/>
    <w:rsid w:val="001518C0"/>
    <w:rsid w:val="00151A9A"/>
    <w:rsid w:val="00156DAC"/>
    <w:rsid w:val="00157622"/>
    <w:rsid w:val="00166CD9"/>
    <w:rsid w:val="00180E65"/>
    <w:rsid w:val="00183181"/>
    <w:rsid w:val="00184E81"/>
    <w:rsid w:val="00187E90"/>
    <w:rsid w:val="00191818"/>
    <w:rsid w:val="00195E39"/>
    <w:rsid w:val="001A356E"/>
    <w:rsid w:val="001B2C40"/>
    <w:rsid w:val="001B68D2"/>
    <w:rsid w:val="001C72C8"/>
    <w:rsid w:val="001F4B69"/>
    <w:rsid w:val="002008B7"/>
    <w:rsid w:val="00202F51"/>
    <w:rsid w:val="00212770"/>
    <w:rsid w:val="0024018E"/>
    <w:rsid w:val="00240CE1"/>
    <w:rsid w:val="00241CAC"/>
    <w:rsid w:val="002474C5"/>
    <w:rsid w:val="00257695"/>
    <w:rsid w:val="002611BD"/>
    <w:rsid w:val="00261502"/>
    <w:rsid w:val="00264DEF"/>
    <w:rsid w:val="0027355F"/>
    <w:rsid w:val="00285358"/>
    <w:rsid w:val="0028626F"/>
    <w:rsid w:val="002866AD"/>
    <w:rsid w:val="00291FCB"/>
    <w:rsid w:val="00293A9C"/>
    <w:rsid w:val="00294DEE"/>
    <w:rsid w:val="00297902"/>
    <w:rsid w:val="002A1AB8"/>
    <w:rsid w:val="002A45D9"/>
    <w:rsid w:val="002F19C4"/>
    <w:rsid w:val="002F240A"/>
    <w:rsid w:val="00301038"/>
    <w:rsid w:val="003067F6"/>
    <w:rsid w:val="00313CC4"/>
    <w:rsid w:val="00316F15"/>
    <w:rsid w:val="00330EC7"/>
    <w:rsid w:val="003312D7"/>
    <w:rsid w:val="003349DA"/>
    <w:rsid w:val="00334F0B"/>
    <w:rsid w:val="00335FCF"/>
    <w:rsid w:val="00354BC5"/>
    <w:rsid w:val="003570EB"/>
    <w:rsid w:val="003635BF"/>
    <w:rsid w:val="00366BDD"/>
    <w:rsid w:val="00377B86"/>
    <w:rsid w:val="00382C31"/>
    <w:rsid w:val="003C250F"/>
    <w:rsid w:val="003E0469"/>
    <w:rsid w:val="003E39CA"/>
    <w:rsid w:val="003E6D29"/>
    <w:rsid w:val="003F20F4"/>
    <w:rsid w:val="00403202"/>
    <w:rsid w:val="00411FBC"/>
    <w:rsid w:val="00417BC1"/>
    <w:rsid w:val="00422DEE"/>
    <w:rsid w:val="004253F6"/>
    <w:rsid w:val="00426FE2"/>
    <w:rsid w:val="00444996"/>
    <w:rsid w:val="00454A88"/>
    <w:rsid w:val="0046236F"/>
    <w:rsid w:val="004720D8"/>
    <w:rsid w:val="00473394"/>
    <w:rsid w:val="004858AF"/>
    <w:rsid w:val="00485F42"/>
    <w:rsid w:val="00486D8E"/>
    <w:rsid w:val="00487E90"/>
    <w:rsid w:val="00490BC6"/>
    <w:rsid w:val="00491773"/>
    <w:rsid w:val="0049610D"/>
    <w:rsid w:val="004A48EE"/>
    <w:rsid w:val="004C1054"/>
    <w:rsid w:val="004C4C95"/>
    <w:rsid w:val="004D3DF9"/>
    <w:rsid w:val="004D5DD0"/>
    <w:rsid w:val="004F7606"/>
    <w:rsid w:val="00502AD0"/>
    <w:rsid w:val="00510DBF"/>
    <w:rsid w:val="00516D95"/>
    <w:rsid w:val="00522FDA"/>
    <w:rsid w:val="0052481A"/>
    <w:rsid w:val="00530DBC"/>
    <w:rsid w:val="00536F52"/>
    <w:rsid w:val="00543083"/>
    <w:rsid w:val="00554D5D"/>
    <w:rsid w:val="00575811"/>
    <w:rsid w:val="00585B4D"/>
    <w:rsid w:val="005B6098"/>
    <w:rsid w:val="005C0B25"/>
    <w:rsid w:val="005C29C2"/>
    <w:rsid w:val="005D5E3A"/>
    <w:rsid w:val="005E3072"/>
    <w:rsid w:val="005F0050"/>
    <w:rsid w:val="00601EB0"/>
    <w:rsid w:val="00604A4D"/>
    <w:rsid w:val="0061061D"/>
    <w:rsid w:val="00611C27"/>
    <w:rsid w:val="00620675"/>
    <w:rsid w:val="00623587"/>
    <w:rsid w:val="006263E5"/>
    <w:rsid w:val="00631AD4"/>
    <w:rsid w:val="00631DCB"/>
    <w:rsid w:val="00651478"/>
    <w:rsid w:val="006620F0"/>
    <w:rsid w:val="0068013E"/>
    <w:rsid w:val="00682D39"/>
    <w:rsid w:val="006B1453"/>
    <w:rsid w:val="006C0E36"/>
    <w:rsid w:val="006D1B1B"/>
    <w:rsid w:val="006D4B70"/>
    <w:rsid w:val="006E278A"/>
    <w:rsid w:val="006F0CA7"/>
    <w:rsid w:val="00720684"/>
    <w:rsid w:val="00731B15"/>
    <w:rsid w:val="007359F8"/>
    <w:rsid w:val="0075505D"/>
    <w:rsid w:val="00787066"/>
    <w:rsid w:val="00793077"/>
    <w:rsid w:val="007A06EF"/>
    <w:rsid w:val="007A666A"/>
    <w:rsid w:val="007C26AB"/>
    <w:rsid w:val="007D1013"/>
    <w:rsid w:val="007D1455"/>
    <w:rsid w:val="007E38C1"/>
    <w:rsid w:val="007E5105"/>
    <w:rsid w:val="007E7C2A"/>
    <w:rsid w:val="007F221C"/>
    <w:rsid w:val="00802B8A"/>
    <w:rsid w:val="00803661"/>
    <w:rsid w:val="00813FA3"/>
    <w:rsid w:val="008273C1"/>
    <w:rsid w:val="0084757D"/>
    <w:rsid w:val="00850660"/>
    <w:rsid w:val="0085151E"/>
    <w:rsid w:val="008739CD"/>
    <w:rsid w:val="00873AB5"/>
    <w:rsid w:val="0088781C"/>
    <w:rsid w:val="00893BA3"/>
    <w:rsid w:val="00895BA0"/>
    <w:rsid w:val="008A34DD"/>
    <w:rsid w:val="008B0935"/>
    <w:rsid w:val="008C007B"/>
    <w:rsid w:val="008C101F"/>
    <w:rsid w:val="008C1971"/>
    <w:rsid w:val="008C490C"/>
    <w:rsid w:val="008D29C2"/>
    <w:rsid w:val="008E1CFD"/>
    <w:rsid w:val="008E5D11"/>
    <w:rsid w:val="008E6A1E"/>
    <w:rsid w:val="008F4C69"/>
    <w:rsid w:val="008F6548"/>
    <w:rsid w:val="009033E9"/>
    <w:rsid w:val="00904114"/>
    <w:rsid w:val="00911075"/>
    <w:rsid w:val="00927AC3"/>
    <w:rsid w:val="00930116"/>
    <w:rsid w:val="00935E8F"/>
    <w:rsid w:val="009435F5"/>
    <w:rsid w:val="00944DA9"/>
    <w:rsid w:val="00950089"/>
    <w:rsid w:val="0095388F"/>
    <w:rsid w:val="009601EE"/>
    <w:rsid w:val="00976BDA"/>
    <w:rsid w:val="009A4C70"/>
    <w:rsid w:val="009B50B4"/>
    <w:rsid w:val="009B68F7"/>
    <w:rsid w:val="009C3897"/>
    <w:rsid w:val="009E163E"/>
    <w:rsid w:val="009E3473"/>
    <w:rsid w:val="009F0C01"/>
    <w:rsid w:val="009F1A88"/>
    <w:rsid w:val="00A00EAA"/>
    <w:rsid w:val="00A16046"/>
    <w:rsid w:val="00A1608D"/>
    <w:rsid w:val="00A41AC0"/>
    <w:rsid w:val="00A46A67"/>
    <w:rsid w:val="00A66979"/>
    <w:rsid w:val="00A66CB3"/>
    <w:rsid w:val="00A66F5B"/>
    <w:rsid w:val="00A90778"/>
    <w:rsid w:val="00A94C72"/>
    <w:rsid w:val="00AA02B3"/>
    <w:rsid w:val="00AB274F"/>
    <w:rsid w:val="00AC0A5D"/>
    <w:rsid w:val="00AC2504"/>
    <w:rsid w:val="00AD3A82"/>
    <w:rsid w:val="00AD5139"/>
    <w:rsid w:val="00AE11C9"/>
    <w:rsid w:val="00AE4231"/>
    <w:rsid w:val="00AE44D8"/>
    <w:rsid w:val="00AF2464"/>
    <w:rsid w:val="00B04735"/>
    <w:rsid w:val="00B05000"/>
    <w:rsid w:val="00B23F04"/>
    <w:rsid w:val="00B269BF"/>
    <w:rsid w:val="00B276AA"/>
    <w:rsid w:val="00B30C32"/>
    <w:rsid w:val="00B31B34"/>
    <w:rsid w:val="00B365E4"/>
    <w:rsid w:val="00B52CA8"/>
    <w:rsid w:val="00B6074C"/>
    <w:rsid w:val="00B62D36"/>
    <w:rsid w:val="00B76395"/>
    <w:rsid w:val="00B76D63"/>
    <w:rsid w:val="00B7707B"/>
    <w:rsid w:val="00B86B42"/>
    <w:rsid w:val="00B97C6A"/>
    <w:rsid w:val="00BC1BDA"/>
    <w:rsid w:val="00BE7FE0"/>
    <w:rsid w:val="00BF19C5"/>
    <w:rsid w:val="00C302A6"/>
    <w:rsid w:val="00C30DFD"/>
    <w:rsid w:val="00C36074"/>
    <w:rsid w:val="00C44879"/>
    <w:rsid w:val="00C478B7"/>
    <w:rsid w:val="00C53429"/>
    <w:rsid w:val="00C537BB"/>
    <w:rsid w:val="00C5484D"/>
    <w:rsid w:val="00C67B30"/>
    <w:rsid w:val="00C71377"/>
    <w:rsid w:val="00C82998"/>
    <w:rsid w:val="00C84D9E"/>
    <w:rsid w:val="00C86687"/>
    <w:rsid w:val="00C92841"/>
    <w:rsid w:val="00CA0712"/>
    <w:rsid w:val="00CA5C84"/>
    <w:rsid w:val="00CA6776"/>
    <w:rsid w:val="00CA7597"/>
    <w:rsid w:val="00CB7CBC"/>
    <w:rsid w:val="00CD1AF0"/>
    <w:rsid w:val="00CD3E9E"/>
    <w:rsid w:val="00CD611C"/>
    <w:rsid w:val="00CF18D2"/>
    <w:rsid w:val="00CF45BD"/>
    <w:rsid w:val="00CF568A"/>
    <w:rsid w:val="00D117CA"/>
    <w:rsid w:val="00D276F4"/>
    <w:rsid w:val="00D31220"/>
    <w:rsid w:val="00D368B5"/>
    <w:rsid w:val="00D37DFA"/>
    <w:rsid w:val="00D42585"/>
    <w:rsid w:val="00D6590D"/>
    <w:rsid w:val="00D730CE"/>
    <w:rsid w:val="00D74C5A"/>
    <w:rsid w:val="00D77B66"/>
    <w:rsid w:val="00D95E90"/>
    <w:rsid w:val="00DB1F57"/>
    <w:rsid w:val="00DC05CA"/>
    <w:rsid w:val="00DD2134"/>
    <w:rsid w:val="00DD314D"/>
    <w:rsid w:val="00DD57BE"/>
    <w:rsid w:val="00DD5B02"/>
    <w:rsid w:val="00E044BA"/>
    <w:rsid w:val="00E05A97"/>
    <w:rsid w:val="00E06FAF"/>
    <w:rsid w:val="00E1698D"/>
    <w:rsid w:val="00E31508"/>
    <w:rsid w:val="00E43A22"/>
    <w:rsid w:val="00E469B6"/>
    <w:rsid w:val="00E50DC1"/>
    <w:rsid w:val="00E5410E"/>
    <w:rsid w:val="00E76834"/>
    <w:rsid w:val="00E772E3"/>
    <w:rsid w:val="00E775A0"/>
    <w:rsid w:val="00E830E6"/>
    <w:rsid w:val="00E93238"/>
    <w:rsid w:val="00EA5CC6"/>
    <w:rsid w:val="00EA74FE"/>
    <w:rsid w:val="00EB3768"/>
    <w:rsid w:val="00EB613B"/>
    <w:rsid w:val="00ED3949"/>
    <w:rsid w:val="00EF615D"/>
    <w:rsid w:val="00F14306"/>
    <w:rsid w:val="00F14348"/>
    <w:rsid w:val="00F15B5F"/>
    <w:rsid w:val="00F24518"/>
    <w:rsid w:val="00F35DE7"/>
    <w:rsid w:val="00F62276"/>
    <w:rsid w:val="00F7138E"/>
    <w:rsid w:val="00F77824"/>
    <w:rsid w:val="00F77C10"/>
    <w:rsid w:val="00F835FD"/>
    <w:rsid w:val="00F871EA"/>
    <w:rsid w:val="00F91C86"/>
    <w:rsid w:val="00F92E83"/>
    <w:rsid w:val="00F96D68"/>
    <w:rsid w:val="00FA2448"/>
    <w:rsid w:val="00FA7C0D"/>
    <w:rsid w:val="00FC046D"/>
    <w:rsid w:val="00FC4DB6"/>
    <w:rsid w:val="00FE1E9A"/>
    <w:rsid w:val="00FF398D"/>
    <w:rsid w:val="00FF5BAC"/>
    <w:rsid w:val="00FF5D53"/>
    <w:rsid w:val="00FF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2C3051-5E6E-43F8-BF2C-3EE0A7ED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F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A7C0D"/>
    <w:pPr>
      <w:widowControl w:val="0"/>
      <w:autoSpaceDE w:val="0"/>
      <w:autoSpaceDN w:val="0"/>
      <w:adjustRightInd w:val="0"/>
      <w:ind w:firstLine="720"/>
    </w:pPr>
    <w:rPr>
      <w:rFonts w:ascii="Arial" w:hAnsi="Arial" w:cs="Arial"/>
    </w:rPr>
  </w:style>
  <w:style w:type="paragraph" w:styleId="a3">
    <w:name w:val="footer"/>
    <w:basedOn w:val="a"/>
    <w:link w:val="a4"/>
    <w:uiPriority w:val="99"/>
    <w:rsid w:val="00CA5C84"/>
    <w:pPr>
      <w:tabs>
        <w:tab w:val="center" w:pos="4677"/>
        <w:tab w:val="right" w:pos="9355"/>
      </w:tabs>
    </w:pPr>
  </w:style>
  <w:style w:type="character" w:customStyle="1" w:styleId="a4">
    <w:name w:val="Нижний колонтитул Знак"/>
    <w:basedOn w:val="a0"/>
    <w:link w:val="a3"/>
    <w:uiPriority w:val="99"/>
    <w:semiHidden/>
    <w:locked/>
    <w:rsid w:val="009435F5"/>
    <w:rPr>
      <w:rFonts w:cs="Times New Roman"/>
      <w:sz w:val="24"/>
      <w:szCs w:val="24"/>
    </w:rPr>
  </w:style>
  <w:style w:type="character" w:styleId="a5">
    <w:name w:val="page number"/>
    <w:basedOn w:val="a0"/>
    <w:uiPriority w:val="99"/>
    <w:rsid w:val="00CA5C84"/>
    <w:rPr>
      <w:rFonts w:cs="Times New Roman"/>
    </w:rPr>
  </w:style>
  <w:style w:type="paragraph" w:customStyle="1" w:styleId="ConsNormal">
    <w:name w:val="ConsNormal"/>
    <w:uiPriority w:val="99"/>
    <w:rsid w:val="000C0A28"/>
    <w:pPr>
      <w:widowControl w:val="0"/>
      <w:ind w:firstLine="720"/>
    </w:pPr>
    <w:rPr>
      <w:rFonts w:ascii="Arial" w:hAnsi="Arial"/>
    </w:rPr>
  </w:style>
  <w:style w:type="table" w:styleId="a6">
    <w:name w:val="Table Grid"/>
    <w:basedOn w:val="a1"/>
    <w:uiPriority w:val="59"/>
    <w:rsid w:val="00AE44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543083"/>
    <w:rPr>
      <w:rFonts w:ascii="Tahoma" w:hAnsi="Tahoma" w:cs="Tahoma"/>
      <w:sz w:val="16"/>
      <w:szCs w:val="16"/>
    </w:rPr>
  </w:style>
  <w:style w:type="character" w:customStyle="1" w:styleId="a8">
    <w:name w:val="Текст выноски Знак"/>
    <w:basedOn w:val="a0"/>
    <w:link w:val="a7"/>
    <w:uiPriority w:val="99"/>
    <w:semiHidden/>
    <w:locked/>
    <w:rsid w:val="00543083"/>
    <w:rPr>
      <w:rFonts w:ascii="Tahoma" w:hAnsi="Tahoma" w:cs="Tahoma"/>
      <w:sz w:val="16"/>
      <w:szCs w:val="16"/>
    </w:rPr>
  </w:style>
  <w:style w:type="character" w:styleId="a9">
    <w:name w:val="annotation reference"/>
    <w:basedOn w:val="a0"/>
    <w:uiPriority w:val="99"/>
    <w:semiHidden/>
    <w:unhideWhenUsed/>
    <w:rsid w:val="00543083"/>
    <w:rPr>
      <w:rFonts w:cs="Times New Roman"/>
      <w:sz w:val="16"/>
      <w:szCs w:val="16"/>
    </w:rPr>
  </w:style>
  <w:style w:type="paragraph" w:styleId="aa">
    <w:name w:val="annotation text"/>
    <w:basedOn w:val="a"/>
    <w:link w:val="ab"/>
    <w:uiPriority w:val="99"/>
    <w:semiHidden/>
    <w:unhideWhenUsed/>
    <w:rsid w:val="00543083"/>
    <w:pPr>
      <w:autoSpaceDE w:val="0"/>
      <w:autoSpaceDN w:val="0"/>
    </w:pPr>
    <w:rPr>
      <w:sz w:val="20"/>
      <w:szCs w:val="20"/>
    </w:rPr>
  </w:style>
  <w:style w:type="character" w:customStyle="1" w:styleId="ab">
    <w:name w:val="Текст примечания Знак"/>
    <w:basedOn w:val="a0"/>
    <w:link w:val="aa"/>
    <w:uiPriority w:val="99"/>
    <w:semiHidden/>
    <w:locked/>
    <w:rsid w:val="00543083"/>
    <w:rPr>
      <w:rFonts w:cs="Times New Roman"/>
      <w:sz w:val="20"/>
      <w:szCs w:val="20"/>
    </w:rPr>
  </w:style>
  <w:style w:type="paragraph" w:styleId="ac">
    <w:name w:val="annotation subject"/>
    <w:basedOn w:val="aa"/>
    <w:next w:val="aa"/>
    <w:link w:val="ad"/>
    <w:uiPriority w:val="99"/>
    <w:semiHidden/>
    <w:unhideWhenUsed/>
    <w:rsid w:val="00E76834"/>
    <w:pPr>
      <w:autoSpaceDE/>
      <w:autoSpaceDN/>
    </w:pPr>
    <w:rPr>
      <w:b/>
      <w:bCs/>
    </w:rPr>
  </w:style>
  <w:style w:type="character" w:customStyle="1" w:styleId="ad">
    <w:name w:val="Тема примечания Знак"/>
    <w:basedOn w:val="ab"/>
    <w:link w:val="ac"/>
    <w:uiPriority w:val="99"/>
    <w:semiHidden/>
    <w:locked/>
    <w:rsid w:val="00E76834"/>
    <w:rPr>
      <w:rFonts w:cs="Times New Roman"/>
      <w:b/>
      <w:bCs/>
      <w:sz w:val="20"/>
      <w:szCs w:val="20"/>
    </w:rPr>
  </w:style>
  <w:style w:type="character" w:styleId="ae">
    <w:name w:val="Hyperlink"/>
    <w:basedOn w:val="a0"/>
    <w:uiPriority w:val="99"/>
    <w:unhideWhenUsed/>
    <w:rsid w:val="006620F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93045">
      <w:marLeft w:val="0"/>
      <w:marRight w:val="0"/>
      <w:marTop w:val="0"/>
      <w:marBottom w:val="0"/>
      <w:divBdr>
        <w:top w:val="none" w:sz="0" w:space="0" w:color="auto"/>
        <w:left w:val="none" w:sz="0" w:space="0" w:color="auto"/>
        <w:bottom w:val="none" w:sz="0" w:space="0" w:color="auto"/>
        <w:right w:val="none" w:sz="0" w:space="0" w:color="auto"/>
      </w:divBdr>
    </w:div>
    <w:div w:id="1228493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702C-3CF3-4A7D-873B-39992DA8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7416</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ИЗМЕНЕНИЯ И ДОПОЛНЕНИЯ № 2</vt:lpstr>
    </vt:vector>
  </TitlesOfParts>
  <Company>Home</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И ДОПОЛНЕНИЯ № 2</dc:title>
  <dc:subject/>
  <dc:creator>Home</dc:creator>
  <cp:keywords/>
  <dc:description/>
  <cp:lastModifiedBy>Анастасия Лазутина</cp:lastModifiedBy>
  <cp:revision>3</cp:revision>
  <cp:lastPrinted>2015-08-05T17:02:00Z</cp:lastPrinted>
  <dcterms:created xsi:type="dcterms:W3CDTF">2020-12-28T15:23:00Z</dcterms:created>
  <dcterms:modified xsi:type="dcterms:W3CDTF">2020-12-29T09:11:00Z</dcterms:modified>
</cp:coreProperties>
</file>